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>
      <w:r>
        <w:rPr>
          <w:b/>
          <w:bCs/>
        </w:rPr>
        <w:t xml:space="preserve">Julgado em: </w:t>
      </w:r>
      <w:r>
        <w:t xml:space="preserve">18/11/1980</w:t>
      </w:r>
    </w:p>
    <w:p/>
    <w:p>
      <w:r>
        <w:t xml:space="preserve">INDENIZAÇÃO — SE DEVE EQÜIVALER À DO TEMPO DE SERVIÇO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equivalência a que alude o inciso XIII do artigo 165 da Constituição Federal ("estabilidade, com indenização ao trabalhador despedido ou fundo de garantia equivalente") se refere, inequivocamente, à contraposição de dois sistemas diversos de garantia do empregado: o da estabilidade e o do fundo de garantia, cada qual regido pelas normas que lhe são próprias. Por isso mesmo é que a legislação ordinária estabelece a opção, a ser feita pelo empregado, por um ou outro desses dois sistemas. - A interpretação sustentada, pelo recorrente, de que a expressão equivalente se restringe à hipótese da despedida, estabelecendo igualdade na importância a ser paga ao empregado despedido levaria, inclusive, à desconfiguração do regime da estabilidade, como bem observou o acórdão prolatado no recurso ordinário pelo Tribunal Regional do Trabalho, "verbis": "O optante pelo regime do Fundo de Garantia está, necessáriamente, adstrito à disciplina da Lei nº 5.107/66, que não prevê a indenização de antigüidade do art. 477 da CLT, coerentemente, eis que o art. 1º, estabelece a opção entre os capítulos V e VII do Título IV da Consolidação e o sistema inaugurado pela Lei do FGTS. De resto, a interpretação que tanto valoriza a palavra "equivalência" no texto da Constituição será constrangida a valorizar equivalentemente a palavra despedido, e concluir que todo o trabalhador despedido - justa ou injustamente - tem o direito constitucional à indenização de antigüidade, o que é indefensável" (...). - Nem se diga - como o faz o recorrente - que a própria exposição de motivos do projeto que se converteu na Lei 5.107/66, part iu da primissa da equivalência econômica das indenizações. O equívoco do recorrente foi o de desvincular a parte inicial do parágrafo que se refere a essa matéria (e fez previsão com base em atualização que, posteriormente, não seguiu a realidade) de sua parte final (onde se prevê a possibilidade de o depósito no Fundo de Garantia superar o "quantum" da indenização do sistema da estabilidade, o que implica dizer que não há identidade obrigatória de valores). Eis a passagem da exposição de motivos do projeto: "II - O valor da indenização não será inferior de modo algum ao atual (ou seja, um mês de salário por ano de serviço) uma vez como, assinalado, o depósito mensal correspondente a esse valor no momento de ser feito, e sua atualização é constantemente assegurada pela correção monetária e pela capitalização de juros, garantias às contas vinculadas, podendo superar o "quantum" correspondente às indenizações, pelo sistema vigente". - O texto constitucional em causa estabelece, em verdade, a equivalência jurídica dos dois sistemas contrapostos - o da estabilidade e o do fundo de garantia -, e não a identidade do "quantum" a que faz jus o empregado despedido. - Em face do exposto, não conheço do presente recurso. Julgado em 19-11-1980 Revista Trimestral de Jurisprudência. Abril, 1982 - vol. 100 - pág. 391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artigo 165, XIII, da Constituição Federal. - O artigo 165, XIII, da Constituição Federal estabelece a equivalência jurídica dos dois sistemas contrapostos - o da estabilidade e o do fundo de garantia -, e não a identidade do "quantum" a que faz juz o empregado despedido.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2026-10-16T16:15:23.712Z</dcterms:created>
  <dcterms:modified xsi:type="dcterms:W3CDTF">2026-10-16T16:15:23.712Z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