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Luciano Castilho</w:t>
      </w:r>
    </w:p>
    <w:p>
      <w:r>
        <w:rPr>
          <w:b/>
          <w:bCs/>
        </w:rPr>
        <w:t xml:space="preserve">Julgado em: </w:t>
      </w:r>
      <w:r>
        <w:t xml:space="preserve">22/05/2001</w:t>
      </w:r>
    </w:p>
    <w:p/>
    <w:p>
      <w:r>
        <w:t xml:space="preserve">MENOR ASSISTIDA PELA MÃE — QUANDO SUA AUSÊNCIA PARA ACOMPANHAR O FEITO NÃO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Contudo, razão, obviamente, não assiste ao douto Ministério Público do Trabalho. Inicialmente, cumpre informar que a eg. Subseção II da Seção Especializada em Dissídios Individuais desta alta Corte vem se posicionando no sentido de que, segundo o art. 793 da CLT, que cuida da representação e assistência processuais trabalhistas, estando o menor representado ou assistido por um de seus representantes legais, a intervenção do Órgão Ministerial no primeiro grau de jurisdição, apesar de relevante, não constitui requisito para a essência do ato. - Especificamente nesse sentido é o recente julgado: ROAR-537.669/99, Rel. Min. Luciano Castilho, DJU 05/05/2000, decisão unânime. Conforme se verifica no caso em tela, a Reclamante, no momento da propositura da Reclamatória, era menor de 18 anos de idade, porém estava assistida pela genitora. - É certo que, de acordo com o art. 127 da Constituição da República de 1988, realmente compete também ao Ministério Público do Trabalho a defesa da ordem jurídica, do regime democrático e dos interesses sociais e individuais indisponíveis. - «Data venia», porém, esta não é a hipótese dos autos, onde não se tem hipótese de indisponibilidade de qualquer direito, devendo, pois, ser preservada a íntegra das decisões proferidas tanto pelo Regional quanto pela Vara do Trabalho nos autos da Reclamação Trabalhista 566/95. Ademais, cabe aqui destacar, por oportuno, que, se assim não fosse, o Ministério Público estaria verdadeiramente a se so brepor ao pátrio poder, o qual se encontra resguardado nos arts. 229 da Carta Política de 1988 e 22 da Lei 8.069/90 (Estatuto da Criança e do Adolescente). - Assim sendo, há de se rejeitar a argüição de nulidade do processado, por falta de notificação do «Parquet» para acompanhar o feito desde a sua instauração, máxime quando, ao exarar a peça opinativa em sede ordinária, como já dito, não apontou o Órgão qualquer nulidade no desenvolvimento da instrução processual. - Pelo contrário, no mérito, propugnou pela confirmação do julgado originário que havia dado pela improcedência da Reclamação. - Com esses fundamentos, NEGO PROVIMENTO ao recurso. Julgado em 23-05-2001 DJ de 22-06-2001 Arquivo do EMFOR, TST/N 4.160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eg. Subseção II da Seção Especializada em Dissídios Individuais desta alta Corte vem se posicionando no sentido de que, segundo o art. 793 da CLT, que cuida da representação e assistência processuais trabalhistas, estando a menor representada ou assistida por um de seus representantes legais, a intervenção do Órgão Ministerial no primeiro grau de jurisdição, apesar de relevante, não constitui requisito para a essência do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2026-10-16T17:20:14.787Z</dcterms:created>
  <dcterms:modified xsi:type="dcterms:W3CDTF">2026-10-16T17:20:14.787Z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