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ANÔNIMA</w:t>
      </w:r>
    </w:p>
    <w:p>
      <w:r>
        <w:rPr>
          <w:i/>
          <w:iCs/>
          <w:color w:val="666666"/>
        </w:rPr>
        <w:t xml:space="preserve">RESPONSABILIDADE DOS DIRETORES</w:t>
      </w:r>
    </w:p>
    <w:p/>
    <w:p>
      <w:r>
        <w:rPr>
          <w:b/>
          <w:bCs/>
        </w:rPr>
        <w:t xml:space="preserve">Julgado em: </w:t>
      </w:r>
      <w:r>
        <w:t xml:space="preserve">23/08/1981</w:t>
      </w:r>
    </w:p>
    <w:p/>
    <w:p>
      <w:r>
        <w:t xml:space="preserve">SE PODE SER ESTE RESPONSÁVEL SOLIDARIAMENTE COM AQUELE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pretensão dos recorrentes, a nosso ver, não tem amparo no bom senso. A discussão se situa em saber se o dono da obra tem ou não responsabilidade, com os empregados do construtor. A jurisprudência se divide em duas facções. A sentença resolveu ficar numa posição eclética. - Com efeito, ao exame do julgado, vê-se que apanhou corretamente os fatos e aplicou equanimemente o direito. Ocorre que a COHAB tem como finalidade precípua a execução do plano estadual de habitação. Não é possível vislumbrar-se a possibilidade de que tenha ajustado o relacionamento jurídico com a Engecil visando prejudicar ou desvirtuar normas consolidadas (art. 9º da CLT). - Ora, se a dona da obra procura empresa idônea e legalmente constituída e com ela ajusta a construção que pretende realizar, não deve ser responsabilizada se ocorrem problemas como o que sucedeu nesse processo. Os riscos assumidos pela Engecil são dela exclusivamente, no que se diz respeito às obrigações trabalhistas. - Sendo assim, face a perfeita colocação do problema pela d. decisão e, considerando que os recorrentes nada trazem que infirme aquela fundamentação, nego provimento ao apelo. Proc. TRT-954/81, Julgado em 24-08-1981 VENCIDO O JUIZ (relator) omisso. Arquivo do Ementário Forense. TRT/175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dono da obra contrata com firma idônea e legalmente estabelecida, os serviços e as obras que quer realizar, não deve ser responsabilizado no feito, pela insolvência posterior da empreiteira principal.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2026-10-26T02:21:48.722Z</dcterms:created>
  <dcterms:modified xsi:type="dcterms:W3CDTF">2026-10-26T02:21:48.722Z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