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ANÔNIMA</w:t>
      </w:r>
    </w:p>
    <w:p>
      <w:r>
        <w:rPr>
          <w:i/>
          <w:iCs/>
          <w:color w:val="666666"/>
        </w:rPr>
        <w:t xml:space="preserve">RESPONSABILIDADE DOS DIRETORES</w:t>
      </w:r>
    </w:p>
    <w:p/>
    <w:p/>
    <w:p>
      <w:r>
        <w:t xml:space="preserve">TEMPO DE VIAGEM — QUANDO SE COMPUTA COMO 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sentença indeferiu o pedido de horas extras "in itinere", baseado, exclusivamente, na facilidade de acesso ao local de trabalho do reclamante, através de transporte público regular e ônibus circulares internos. Esses não são, no entanto, os pontos nevrálgicos da matéria em discussão. A questão nodal reside em saber se o transporte público regular, somado aos ônibus circulares internos, servem ao reclamante, considerados os horários dos ônibus, e a sua jornada de trabalho. Do exame dessa questão se afigura tenha razão o reclamante. A jornada alegada na inicial - 7h3Omin. às 12h e 13h às 18h - não foi contestada. Diz a contestação que a entrada do polo é feita pelo Km 22 da Tabaí - Canoas, e desse ponto até os locais de trabalho - aproximadamente 10 Km - os empregados são transportados gratuitamente por ônibus circulares (...) Documento fornecido pelo DAER (...) certifica que a parada a que alude a defesa fica próxima ao Km 23 da mencionada rodovia. O documento (...) demonstra que a primeira passagem do ônibus circular pelo Km 23 ocorre às Th30min. Note-se que é este o horário do início da jornada do autor e o ônibus necessita percorrer 10 Km para a chegada ao local de trabalho. Evidencia-se que o transporte público regular, associado na transporte circular interno, não coincide com o início da jornada do autor. No que tange ao término da jornada, o documento (...) deixa claro que os ônibus circulares não coincidem com o horário do autor. A conclusão lógica é a de que a única condução que serve ao autor é a fornecida pela reclamada. Nesses condições, o tempo dispendido na condução fornecida constitui horas extras "in itinere", que se deferem ao reclamante com os reflexos pretendidos. - ..........................................................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transporte público regular não coincide com os horários do trabalhador, as horas gastas em condução da empresa constituem horas extras "in itinere".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2026-10-26T04:36:51.425Z</dcterms:created>
  <dcterms:modified xsi:type="dcterms:W3CDTF">2026-10-26T04:36:51.425Z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