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ANÔNIMA</w:t>
      </w:r>
    </w:p>
    <w:p>
      <w:r>
        <w:rPr>
          <w:i/>
          <w:iCs/>
          <w:color w:val="666666"/>
        </w:rPr>
        <w:t xml:space="preserve">RESPONSABILIDADE DOS DIRETORES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12/10/1981</w:t>
      </w:r>
    </w:p>
    <w:p/>
    <w:p>
      <w:r>
        <w:t xml:space="preserve">PAGAMENTO — A QUEM INCUMBE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deste Tribunal é uniforme: Mesmo que o empregador seja vencido apenas em parte, ele paga o valor da perícia requerida pelo empregado, embora a perícia não diga respeito a parte em que o empregador foi condenado. - A inversa é correta. Se a ação é improcedente, o ônus dos honorários periciais é do empregado, mesmo que a perícia tenha sido requerida pelo empregador vitorioso. - Assim, preliminarmente, conheço da revista, pelos fundamentos da mesma; no mérito, dou-lhe provimento, para que os honorários do perito sejam pagos pelo Recorrido. Proc. TST-RR. 3.464/80, Julgado em 13-10-1981 Arquivo do Ementário Forense. TST/1.452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honorários do perito são pagos pela parte vencida, mesmo que a perícia tenha sido requerida pela parte vencedora.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2026-10-26T04:17:30.224Z</dcterms:created>
  <dcterms:modified xsi:type="dcterms:W3CDTF">2026-10-26T04:17:30.224Z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