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02/06/1981</w:t>
      </w:r>
    </w:p>
    <w:p/>
    <w:p>
      <w:r>
        <w:t xml:space="preserve">QUANDO SE FIRMA A DO TRIBUNAL REGIONAL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a douta Procuradoria Geral. - O argumento de que os reclamantes foram admitidos após a vigência da Lei nº 4.345/64 foi posto no acórdão da E. 1ª Turma para não conhecer da revista e não para declarar a inexistência do direito material. - Se da revista não se conhecer não houve decisão do mérito. - Rescindível, portanto, é o acórdão regional e não a decisão da Turma que não conheceu da revista. Consequentemente, a competência é do Tribunal Regional. - Reformando o acórdão regional, declaro a competência do Tribunal "a quo" para decidir da presente ação rescisória. Proc. TST-AR-26/80, julgado em 03-06-1981 Arquivo do Ementário Forense, TST/1.438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recurso de revista não foi conhecido, não houve julgamento de mérito, e só este autoriza pedido de rescisão, de competência do Eg. Tribunal Regional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2026-10-26T04:35:48.101Z</dcterms:created>
  <dcterms:modified xsi:type="dcterms:W3CDTF">2026-10-26T04:35:48.101Z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