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02/06/1981</w:t>
      </w:r>
    </w:p>
    <w:p/>
    <w:p>
      <w:r>
        <w:t xml:space="preserve">QUANDO SE FIRMA A DO TRIBUNAL REGIONAL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razão a douta Procuradoria Geral. - O argumento de que os reclamantes foram admitidos após a vigência da Lei nº 4.345/64 foi posto no acórdão da E. 1ª Turma para não conhecer da revista e não para declarar a inexistência do direito material. - Se da revista não se conhecer não houve decisão do mérito. - Rescindível, portanto, é o acórdão regional e não a decisão da Turma que não conheceu da revista. Consequentemente, a competência é do Tribunal Regional. - Reformando o acórdão regional, declaro a competência do Tribunal "a quo" para decidir da presente ação rescisória. Proc. TST-AR-26/80, julgado em 03-06-1981 Arquivo do Ementário Forense, TST/1.438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recurso de revista não foi conhecido, não houve julgamento de mérito, e só este autoriza pedido de rescisão, de competência do Eg. Tribunal Regional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2026-07-28T02:22:22.114Z</dcterms:created>
  <dcterms:modified xsi:type="dcterms:W3CDTF">2026-07-28T02:22:22.114Z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