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PÚBLICA</w:t>
      </w:r>
    </w:p>
    <w:p>
      <w:r>
        <w:rPr>
          <w:i/>
          <w:iCs/>
          <w:color w:val="666666"/>
        </w:rPr>
        <w:t xml:space="preserve">REAJUSTE TRIMESTRAL DOS SALÁRIOS</w:t>
      </w:r>
    </w:p>
    <w:p/>
    <w:p>
      <w:r>
        <w:rPr>
          <w:b/>
          <w:bCs/>
        </w:rPr>
        <w:t xml:space="preserve">Julgado em: </w:t>
      </w:r>
      <w:r>
        <w:t xml:space="preserve">03/11/1980</w:t>
      </w:r>
    </w:p>
    <w:p/>
    <w:p>
      <w:r>
        <w:t xml:space="preserve">QUANDO SE CARACTERIZA O VIGIA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"Data venia" da douta Procuradoria Regional, desde a contestação (...), afirmara a reclamada, ora recorrente, que a função real do reclamante, ora recorrido, era a de vigia, sujeito, por isso, à jornada de 10 horas. É certo que sua contratação se fez como vigilante. Mas o vigilante a que se refere a jurisprudência invocada, distinguindo-o do vigia, a que se refere o art. 62, letra "b", da CLT, é aquele empregado de empresas cuja atividade é a prestação de serviços de segurança. No caso dos autos, como vigilante, tinha o reclamante as tarefas próprias de vigia, contemplando naquela disposição legal, sujeitando-se, pois, à jornada de 10 horas, o que exclui a condenação imposta à reclamada, já que pago de uma hora extra diária. Proc. TRT-RO-3.499/80, julgado em 04-11-1980 Arquivo do Ementário Forense, TRT/173 EMFOR 406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Vigilante, empregado de empresa que não explora atividade de prestação de serviços de vigilância, é vigia e, pois, enquadrado na disposição contida no art. 62, letra "b", da Consolidação das Leis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2026-07-28T01:19:44.913Z</dcterms:created>
  <dcterms:modified xsi:type="dcterms:W3CDTF">2026-07-28T01:19:44.913Z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