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Julgado em: </w:t>
      </w:r>
      <w:r>
        <w:t xml:space="preserve">16/01/1983</w:t>
      </w:r>
    </w:p>
    <w:p/>
    <w:p>
      <w:r>
        <w:t xml:space="preserve">DISPENSA NOS TRINTA DIAS QUE A ANTECEDEM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Rejeita-se "in limine" a tese esposada pela recorrente. A Lei 6.708/79, em seu art. 9º, estipula o pagamento de uma indenização adicional ao empregado dispensado 30 dias anteriores à data de sua correção salarial e não da correção salarial do salário mínimo regional. Como a data-base da correção salarial da recorrente é agosto e sua despedida ocorreu em setembro, nada há a deferir-lhe a tal título. Proc. TRT-RO-4.542/82, Julgado em 17-01-1983 Arquivo do Ementário Forense. TRT/213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6.708/78 estipula em seu art. 9º o pagamento de uma indenização adicional quando o empregado for dispensado nos 30 dias que antecedem à data de sua correção salarial e não da correção do salário mínimo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2026-10-16T16:06:23.047Z</dcterms:created>
  <dcterms:modified xsi:type="dcterms:W3CDTF">2026-10-16T16:06:23.047Z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