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15/03/1982</w:t>
      </w:r>
    </w:p>
    <w:p/>
    <w:p>
      <w:r>
        <w:t xml:space="preserve">QUAL O ÍNDICE A SER APLICADO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Quebra de caixa é uma parcela de natureza salarial. Muito embora sua destinação seja cobrir diferenças de caixa, é notório que se incorpora ao salário, desde que tal fato não ocorra, beneficiando, assim, o trabalhador. Se inexistente o seu reajustamento, sua tendência, com o tempo, em período de inflação, é corroer-me de maneira a tornar-se inexpressiva, não atendendo à sua destinação especifica. - Assim, é de ser corrigida isoladamente, tomada como parcela independente, pelos índices da Lei nº 6.708, isto é, 1.1. - Dou provimento ao recurso, nestes termos. Proc. TST-RR-1.914/81, Julgado em 16-03-1982 VENCIDO O MINISTRO NELSON TAPAJÓS (relator). Arquivo do Ementário Forense, TST/1.512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reajustamento de quebra de caixa deve ser feito com base nos índices da Lei nº 6.708, tomando-se como parcela isolada.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2026-07-28T03:40:53.184Z</dcterms:created>
  <dcterms:modified xsi:type="dcterms:W3CDTF">2026-07-28T03:40:53.184Z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