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14/02/1982</w:t>
      </w:r>
    </w:p>
    <w:p/>
    <w:p>
      <w:r>
        <w:t xml:space="preserve">BENEFÍCIO NÃO REQUERIDO À ÉPOCA PRÓPRIA — QUANDO É VEDADA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gira sobre a conversão em pecúnia do direito à licença prêmio a que fariam jus os empregados, funcionários públicos, cedidos temporariamente. - Face à existência de dispositivos atinentes à matéria em discussão, o § 3º do art. 1º do Decreto nº 33.204/55, que veio a regulamentar o art. 116 do Estatuto dos Funcionários Públicos vedando expressamente o direito almejado pelos empregados, certo que a pretensão versada na inicial não merece prosperar. - Entendemos que, durante o período de cessão provisória, onde o empregado fica sob a tutela da lei trabalhista, somente são devidos pela empresa os direitos e obrigações referentes ao período sob a tutela da CLT. - Voto pelo provimento, julgando improcedente a ação. Proc. TST.RR-5.052/80, Julgado em 15-02-1982 Arquivo do Ementário Forense, TST/1.508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3º do art. 1º do Decreto 38.204/55, que veio regulamentar o art. 116 do Estatuto dos Funcionários Públicos veda a conversão de licença-prêmio em pecúnia, quando os empregados não requerem o benefício à época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2026-10-16T17:10:47.874Z</dcterms:created>
  <dcterms:modified xsi:type="dcterms:W3CDTF">2026-10-16T17:10:47.874Z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