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14/02/1982</w:t>
      </w:r>
    </w:p>
    <w:p/>
    <w:p>
      <w:r>
        <w:t xml:space="preserve">BENEFÍCIO NÃO REQUERIDO À ÉPOCA PRÓPRIA — QUANDO É VEDADA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discussão gira sobre a conversão em pecúnia do direito à licença prêmio a que fariam jus os empregados, funcionários públicos, cedidos temporariamente. - Face à existência de dispositivos atinentes à matéria em discussão, o § 3º do art. 1º do Decreto nº 33.204/55, que veio a regulamentar o art. 116 do Estatuto dos Funcionários Públicos vedando expressamente o direito almejado pelos empregados, certo que a pretensão versada na inicial não merece prosperar. - Entendemos que, durante o período de cessão provisória, onde o empregado fica sob a tutela da lei trabalhista, somente são devidos pela empresa os direitos e obrigações referentes ao período sob a tutela da CLT. - Voto pelo provimento, julgando improcedente a ação. Proc. TST.RR-5.052/80, Julgado em 15-02-1982 Arquivo do Ementário Forense, TST/1.508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 3º do art. 1º do Decreto 38.204/55, que veio regulamentar o art. 116 do Estatuto dos Funcionários Públicos veda a conversão de licença-prêmio em pecúnia, quando os empregados não requerem o benefício à época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2026-07-28T01:18:48.852Z</dcterms:created>
  <dcterms:modified xsi:type="dcterms:W3CDTF">2026-07-28T01:18:48.852Z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