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01/04/1982</w:t>
      </w:r>
    </w:p>
    <w:p/>
    <w:p>
      <w:r>
        <w:t xml:space="preserve">ATIVIDADE EM APOIO À PROSPECÇÃO PETROLÍFERA — MATÉRIA REGIDA PELA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respeita ao número de horas extras a matéria é eminentemente fática, exigindo revolvimento de prova e a não aplicação ao caso da Lei nº 5.811 resulta de própria qualificação do autor como marítimo. A categoria do marítimo, sendo diferenciada, regula-se pelas normas específicas da CLT e do Regulamento do Tráfego Marítimo. Não há como aplicar-se ao tripulante de navio da reclamada, ainda que em operação "offshore" o estatuto atinente aos empregados da Petrobrás. O ajuste realizado entre a reclamada e a Petrobrás não tem, nem poderia ter, força para alterar o regime de proteção do trabalho dos embarcadiços. - Para chegar-se, em qualquer ponto dos atacados no recurso, a solução diversa da afirmada pelo acórdão regional, necessário seria revolver a prova, o que é vedado na revista. - Não conheço, também, da revista do autor. - É o meu voto. Proc. TST-RR-2.963/81, Julgado em 02-04-1982 Arquivo do Ementário Forense, TST/1.513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trabalhador marítimo, pela simples razão de desenvolver sua atividade em apoio à prospecção petrolífera, não faz jus aos benefícios que se originam da aplicação da Lei 5.811.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2026-07-28T01:56:21.824Z</dcterms:created>
  <dcterms:modified xsi:type="dcterms:W3CDTF">2026-07-28T01:56:21.824Z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