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01/04/1982</w:t>
      </w:r>
    </w:p>
    <w:p/>
    <w:p>
      <w:r>
        <w:t xml:space="preserve">ATIVIDADE EM APOIO À PROSPECÇÃO PETROLÍFERA — MATÉRIA REGIDA PELA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respeita ao número de horas extras a matéria é eminentemente fática, exigindo revolvimento de prova e a não aplicação ao caso da Lei nº 5.811 resulta de própria qualificação do autor como marítimo. A categoria do marítimo, sendo diferenciada, regula-se pelas normas específicas da CLT e do Regulamento do Tráfego Marítimo. Não há como aplicar-se ao tripulante de navio da reclamada, ainda que em operação "offshore" o estatuto atinente aos empregados da Petrobrás. O ajuste realizado entre a reclamada e a Petrobrás não tem, nem poderia ter, força para alterar o regime de proteção do trabalho dos embarcadiços. - Para chegar-se, em qualquer ponto dos atacados no recurso, a solução diversa da afirmada pelo acórdão regional, necessário seria revolver a prova, o que é vedado na revista. - Não conheço, também, da revista do autor. - É o meu voto. Proc. TST-RR-2.963/81, Julgado em 02-04-1982 Arquivo do Ementário Forense, TST/1.513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trabalhador marítimo, pela simples razão de desenvolver sua atividade em apoio à prospecção petrolífera, não faz jus aos benefícios que se originam da aplicação da Lei 5.811.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2026-10-16T17:24:36.720Z</dcterms:created>
  <dcterms:modified xsi:type="dcterms:W3CDTF">2026-10-16T17:24:36.720Z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