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21/03/1982</w:t>
      </w:r>
    </w:p>
    <w:p/>
    <w:p>
      <w:r>
        <w:t xml:space="preserve">GRATIFICAÇÃO POR TEMPO DE SERVIÇO — SE SOBRE ELA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6.708, cogita da incidência dos reajustes semestrais sobre o salário do empregado. Ora, no caso, o anuênio, mera gratificação por tempo de serviço, embora compondo a remuneração do empregado, salário não é. Assim, conheço do recurso pela infringência a lei, não o fazendo por divergência jurisprudencial porque não configurada. DO MÉRITO - Pelas razões acima, tenho que sobre os anuênios não incide o reajuste da Lei 6.708, tendo em vista, até mesmo, a fixação em valor certo para viger por período determinado: um ano. Proc. TST-RR-1.921/81, Julgado em 22-03-1982 Arquivo do Ementário Forense, TST/1.501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é a incidência do reajuste semestral sobre parcela que, embora compondo a remuneração do empregado, não se constitui em salário e é fixada mediante valor certo e para viger por tempo 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2026-10-16T17:22:58.925Z</dcterms:created>
  <dcterms:modified xsi:type="dcterms:W3CDTF">2026-10-16T17:22:58.925Z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