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21/03/1982</w:t>
      </w:r>
    </w:p>
    <w:p/>
    <w:p>
      <w:r>
        <w:t xml:space="preserve">GRATIFICAÇÃO POR TEMPO DE SERVIÇO — SE SOBRE ELA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nº 6.708, cogita da incidência dos reajustes semestrais sobre o salário do empregado. Ora, no caso, o anuênio, mera gratificação por tempo de serviço, embora compondo a remuneração do empregado, salário não é. Assim, conheço do recurso pela infringência a lei, não o fazendo por divergência jurisprudencial porque não configurada. DO MÉRITO - Pelas razões acima, tenho que sobre os anuênios não incide o reajuste da Lei 6.708, tendo em vista, até mesmo, a fixação em valor certo para viger por período determinado: um ano. Proc. TST-RR-1.921/81, Julgado em 22-03-1982 Arquivo do Ementário Forense, TST/1.501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Impossível é a incidência do reajuste semestral sobre parcela que, embora compondo a remuneração do empregado, não se constitui em salário e é fixada mediante valor certo e para viger por tempo determinado.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2026-07-28T01:53:48.158Z</dcterms:created>
  <dcterms:modified xsi:type="dcterms:W3CDTF">2026-07-28T01:53:48.158Z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