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15/02/1982</w:t>
      </w:r>
    </w:p>
    <w:p/>
    <w:p>
      <w:r>
        <w:t xml:space="preserve">CLÁUSULA QUE A PREVÊ — SE EXONERA O EMPREGADOR DO PAGAMENTO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de cláusula contratual expressa que autoriza a transferência do empregado, ela é legitima, na forma do art. 469. - E, pela natureza da atividade do empregador, o exercício do direito de transferência, emanante da referida cláusula, também, é jurídica. - Nessas condições, dou provimento ao recurso para julgar improcedente o pedido de adicionais de transferência e seus reflexos. Proc. TST-RR-1.644/81, Julgado em 16-02-1982 Arquivo do Ementário Forense, TST/1.510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Transferência autorizada mediante cláusula contratual, que se justifica, plenamente, pela atividade própria da empresa, não dá ao trabalhador transferido o direito ao adicional previsto em lei (CLT. art. 469).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2026-10-16T17:21:17.412Z</dcterms:created>
  <dcterms:modified xsi:type="dcterms:W3CDTF">2026-10-16T17:21:17.412Z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