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Julgado em: </w:t>
      </w:r>
      <w:r>
        <w:t xml:space="preserve">23/09/1980</w:t>
      </w:r>
    </w:p>
    <w:p/>
    <w:p>
      <w:r>
        <w:t xml:space="preserve">TERMINAÇÃO DESTE — DESPEDIDA NÃO EFETIVA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houve a reconsideração do aviso prévio pretendido pelo autor. - Após o término do aviso, a reclamada pagou ao reclamante tudo quanto lhe era devido. - O reclamante, no entanto, como salienta muito bem o r. decisório recorrido, retirou seu cartão do ponto para procurar forçar uma continuação do contrato de trabalho, mantendo o cartão consigo. O reclamante, na verdade, não conseguiu trabalhar, pois, embora tivesse penetrado irregularmente na empresa, veio a ser surpreendido por superior hierárquico que o remeteu à seção do pessoal. - Apenas os dias trabalhados são devidos. - Nego provimento em parte, para reconhecer os dias de trabalho. Proc. TRT-RO-158/80, Julgado em 24-09-1980 Arquivo do Ementário Forense, TRT/161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que, em uma grande empresa, consegue trabalhar alguns dias depois do término do aviso prévio, valendo-se de distração de superior hierárquico, não tem direito a novo aviso prévio e outras vantagens oriundas de seu procedimento irregular.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2026-10-16T17:17:02.780Z</dcterms:created>
  <dcterms:modified xsi:type="dcterms:W3CDTF">2026-10-16T17:17:02.780Z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