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14/10/1980</w:t>
      </w:r>
    </w:p>
    <w:p/>
    <w:p>
      <w:r>
        <w:t xml:space="preserve">PREJUÍZOS CAUSADOS AO EMPREGADOR — DANO CULPOSO - LEGITIMIDADE.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É possível que o reclamante preferisse firmar um contrato em que se não previne a possibilidade de o servidor responder pelos prejuízos que causasse e, não houvesse lei a propósito, é provável que a cláusula em debate não fosse considerada válida ou, ao menos, que se presumisse que o servidor se encontrava coagido quando concordou previamente com a possibilidade de sofrer descontos. - Sucede que o art. 462 consolidado autoriza contratos como o firmado pelo recorrente. Ora, quem concorda com o que o direito positivo permite, juridicamente não pode presumir-se coagido e da coação o autor não fez prova. - Nego, por isso, provimento ao recurso. Proc. TRT-RO-1.754/80, Julgado em 15-10-1980 Arquivo do Ementário Forense, TRT/166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válido o contrato que autoriza o empregador a descontar do salário do empregado o valor dos prejuízos culposos por este causados à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2026-10-16T17:21:45.332Z</dcterms:created>
  <dcterms:modified xsi:type="dcterms:W3CDTF">2026-10-16T17:21:45.332Z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