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14/10/1980</w:t>
      </w:r>
    </w:p>
    <w:p/>
    <w:p>
      <w:r>
        <w:t xml:space="preserve">PREJUÍZOS CAUSADOS AO EMPREGADOR — DANO CULPOSO - LEGITIMIDADE.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É possível que o reclamante preferisse firmar um contrato em que se não previne a possibilidade de o servidor responder pelos prejuízos que causasse e, não houvesse lei a propósito, é provável que a cláusula em debate não fosse considerada válida ou, ao menos, que se presumisse que o servidor se encontrava coagido quando concordou previamente com a possibilidade de sofrer descontos. - Sucede que o art. 462 consolidado autoriza contratos como o firmado pelo recorrente. Ora, quem concorda com o que o direito positivo permite, juridicamente não pode presumir-se coagido e da coação o autor não fez prova. - Nego, por isso, provimento ao recurso. Proc. TRT-RO-1.754/80, Julgado em 15-10-1980 Arquivo do Ementário Forense, TRT/166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o contrato que autoriza o empregador a descontar do salário do empregado o valor dos prejuízos culposos por este causados à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2026-07-28T01:35:16.456Z</dcterms:created>
  <dcterms:modified xsi:type="dcterms:W3CDTF">2026-07-28T01:35:16.456Z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