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REGULAMENTO DA EMPRESA</w:t>
      </w:r>
    </w:p>
    <w:p/>
    <w:p>
      <w:r>
        <w:rPr>
          <w:b/>
          <w:bCs/>
        </w:rPr>
        <w:t xml:space="preserve">Julgado em: </w:t>
      </w:r>
      <w:r>
        <w:t xml:space="preserve">22/10/1980</w:t>
      </w:r>
    </w:p>
    <w:p/>
    <w:p>
      <w:r>
        <w:t xml:space="preserve">PEDIDO DE LEVANTAMENTO DE DEPÓSITOS — QUANDO SE DESLOCA PARA A JUSTIÇA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supremo Tribunal Federal, em recente julgamento, proferido no CJ 6.243, em 21-08-1980, decidiu que, a partir da Emenda Constitucional nº 1/69, em face do seu art. 125, I, não mais prevalece a parte final do art. 22 da Lei 5.107, que incumbe ä Justiça do Trabalho o julgamento dos dissídios oriundos de sua aplicação, ainda que deles participem o BNH ou a Previdência Social. - Havendo, pois, no presente feito, a intervenção do Banco Nacional da Habitação, a competência é do suscitante, o Juiz Federal da Seção Judiciária do Estado do Pára, tendo em vista o prevalecimento da norma constitucional. Cabe, então, conhecer do conflito e declarar competente, no caso, a Justiça Federal. Julgado em 23-10-1980 Revista Trimestral de Jurisprudência. Maio, 1981 - Vol. 96 - Pág. 582 (*) "É inconstitucional o artigo 22 da Lei nº 5.107, de 13 de setembro de 1966, na sua parte final, em que se dá competência à Justiça do Trabalho para julgar dissídios "quando o BNH e a Previdência Social figurarem no feito como litisconsortes" EMFOR 404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partir do dispositivo constitucional inserto no art. 123, I, havendo intervenção do Banco Nacional de Habitação, a competência para o julgamento dos dissídios relativos ao Fundo de Garantia do Tempo de Serviço é da Justiça Federal, não mais prevalecendo a parte final do art. 22 da Lei 5.107/66.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2026-10-16T17:25:47.305Z</dcterms:created>
  <dcterms:modified xsi:type="dcterms:W3CDTF">2026-10-16T17:25:47.305Z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