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16/12/1981</w:t>
      </w:r>
    </w:p>
    <w:p/>
    <w:p>
      <w:r>
        <w:t xml:space="preserve">DESAJUSTE RESULTANTE DE SENTENÇA JUDICIAL — SE OBSTA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segunda Turma decidiu: "Inviável concessão de equiparação salarial, tendo como paradigma empregado que, por sua vez, obteve a vantagem por via judicial, por ser personalíssimo. Revista conhecida e provida". - Ainda na fundamentação diz o acórdão: "O desnível salarial não foi de iniciativa da empresa, mas, conforme está evidenciado nos autos, em cumprimento à sentença judicial. E aí reside o óbice intransponível ao êxito da pretensão dos reclamantes". - Sustentam que o acórdão embargado divergiu de outros arestos relacionados ..., requerendo restabelecimento do acórdão do Tribunal Regional. ....................................................................................................................................... - O acórdão do Egrégio Regional diz: "Equiparação salarial devida em virtude da presença dos pressupostos enunciados na Consolidação das Leis do Trabalho. "A elevação do salário paradigma, por força de outra decisão judicial não obsta a aplicação do art. 461 da C.L.T., não se trata de ampliar os efeitos da sentença anterior, mas de equiparar, à luz da isonomia salários díspares". - Com base na Súmula 120 (*) dou provimento para restabelecer o acórdão do Tribunal Regional por seus fundamentos. Proc. TST-E-RR-3.250/79, julgado em 17-12-1981 (*) in EMENTÁRIO FORENSE Nº 396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"Presentes os pressupostos do art. 461 da C.L.T. é irrelevante a circunstância de que o desnível salarial tenha origem em decisão judicial que beneficiou o paradigma".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2026-07-28T01:18:33.020Z</dcterms:created>
  <dcterms:modified xsi:type="dcterms:W3CDTF">2026-07-28T01:18:33.020Z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