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16/12/1981</w:t>
      </w:r>
    </w:p>
    <w:p/>
    <w:p>
      <w:r>
        <w:t xml:space="preserve">DESAJUSTE RESULTANTE DE SENTENÇA JUDICIAL — SE OBSTA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segunda Turma decidiu: "Inviável concessão de equiparação salarial, tendo como paradigma empregado que, por sua vez, obteve a vantagem por via judicial, por ser personalíssimo. Revista conhecida e provida". - Ainda na fundamentação diz o acórdão: "O desnível salarial não foi de iniciativa da empresa, mas, conforme está evidenciado nos autos, em cumprimento à sentença judicial. E aí reside o óbice intransponível ao êxito da pretensão dos reclamantes". - Sustentam que o acórdão embargado divergiu de outros arestos relacionados ..., requerendo restabelecimento do acórdão do Tribunal Regional. ....................................................................................................................................... - O acórdão do Egrégio Regional diz: "Equiparação salarial devida em virtude da presença dos pressupostos enunciados na Consolidação das Leis do Trabalho. "A elevação do salário paradigma, por força de outra decisão judicial não obsta a aplicação do art. 461 da C.L.T., não se trata de ampliar os efeitos da sentença anterior, mas de equiparar, à luz da isonomia salários díspares". - Com base na Súmula 120 (*) dou provimento para restabelecer o acórdão do Tribunal Regional por seus fundamentos. Proc. TST-E-RR-3.250/79, julgado em 17-12-1981 (*) in EMENTÁRIO FORENSE Nº 396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"Presentes os pressupostos do art. 461 da C.L.T. é irrelevante a circunstância de que o desnível salarial tenha origem em decisão judicial que beneficiou o paradigma".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2026-10-16T17:09:20.518Z</dcterms:created>
  <dcterms:modified xsi:type="dcterms:W3CDTF">2026-10-16T17:09:20.518Z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