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Julgado em: </w:t>
      </w:r>
      <w:r>
        <w:t xml:space="preserve">15/06/1981</w:t>
      </w:r>
    </w:p>
    <w:p/>
    <w:p>
      <w:r>
        <w:t xml:space="preserve">SE COMO TAL PODEM SER CONSIDERADAS AS HORAS DE REPOUSO A BORDO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Dou provimento, em parte, ao recurso para excluir da condenação as horas extraordinárias. - Só mesmo por ficção se poderá admitir que o marítimo haja trabalhado 16 horas extraordinárias por dia, ou seja, integralmente, 24 horas. Aplica-se ao caso do art. 248 combinado com o art. 249, ambos da CLT. Quanto ao mais, merece ser confirmada a sentença pelos seus próprios fundamentos. Proc. TRT-6.263/70, julgado em 16-06-1981 Arquivo do Ementário Forense, TRT/155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de descanso do marítimo a bordo não podem ser consideradas como extraordinárias, como se tivessem ele executando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2026-07-28T01:53:14.061Z</dcterms:created>
  <dcterms:modified xsi:type="dcterms:W3CDTF">2026-07-28T01:53:14.061Z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