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15/06/1981</w:t>
      </w:r>
    </w:p>
    <w:p/>
    <w:p>
      <w:r>
        <w:t xml:space="preserve">SE COMO TAL PODEM SER CONSIDERADAS AS HORAS DE REPOUSO A BORDO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provimento, em parte, ao recurso para excluir da condenação as horas extraordinárias. - Só mesmo por ficção se poderá admitir que o marítimo haja trabalhado 16 horas extraordinárias por dia, ou seja, integralmente, 24 horas. Aplica-se ao caso do art. 248 combinado com o art. 249, ambos da CLT. Quanto ao mais, merece ser confirmada a sentença pelos seus próprios fundamentos. Proc. TRT-6.263/70, julgado em 16-06-1981 Arquivo do Ementário Forense, TRT/155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de descanso do marítimo a bordo não podem ser consideradas como extraordinárias, como se tivessem ele executando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2026-10-16T16:15:08.584Z</dcterms:created>
  <dcterms:modified xsi:type="dcterms:W3CDTF">2026-10-16T16:15:08.584Z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