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23/09/1981</w:t>
      </w:r>
    </w:p>
    <w:p/>
    <w:p>
      <w:r>
        <w:t xml:space="preserve">PRESTAÇÃO DE SERVIÇOS ESSENCIAIS E DE CARÁTER PERMANENTE — VIOLAÇÃO DA LEI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Invoca-se a Lei nº 6.019/74 para sustentar válida a contratação da reclamante pelo segundo reclamado, para prestar serviços ao Banco - primeiro reclamado. - Mas quer porque superado o período a que refere a lei invocada, quer porque a admissão se faz para a prestação de serviços que se inserem nas atividades essenciais do estabelecimento bancário, tem-se como caracterizado a relação de emprego com o segundo reclamado e em conseqüência, a condição bancária da reclamante. ...................................................................................................................................................... Proc. TRT-5.485/80, julgado em 24-09-1981 Arquivo do Ementário Forense, TRT/159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Ilícito o fornecimento de mão-de-obra de uma empresa a outra, em caráter permanente, sob pena de integração do trabalhador na empresa em que labuta, com todas as vantagens da categoria funcional.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2026-10-16T17:26:30.472Z</dcterms:created>
  <dcterms:modified xsi:type="dcterms:W3CDTF">2026-10-16T17:26:30.472Z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