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22/06/1981</w:t>
      </w:r>
    </w:p>
    <w:p/>
    <w:p>
      <w:r>
        <w:t xml:space="preserve">FALTA DE AUDIÊNCIA DA PARTE CONTRÁRIA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empregado foi dado prazo para falar sobre a contestação e documentos, quando pediu o desentranhamento dos mesmos, por não possuírem autenticação (...). Logo, não foram aceitos pelo reclamante, O fato de ter dispensado, na audiência, a conferência sobre os mesmos justifica-se porque falaria oportunamente, como o fez. - Conheço pela divergência e nego provimento ao recurso. Proc. TST-RR-128/80, Julgado em 23-06-1981 Arquivo do Ementário Forense, TST /1.406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falado a parte sobre os documentos juntados, não têm eles valor para o deslinde da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2026-07-28T01:13:22.926Z</dcterms:created>
  <dcterms:modified xsi:type="dcterms:W3CDTF">2026-07-28T01:13:22.926Z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