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08/06/1981</w:t>
      </w:r>
    </w:p>
    <w:p/>
    <w:p>
      <w:r>
        <w:t xml:space="preserve">RESCISÃO PELO EMPREGADOR SEM JUSTA CAUSA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trata, como insinua a recorrente, de coexistência entre os regimes do FGTS e indenização por tempo de serviço, prevista na CLT. A hipótese é de rescisão de contrato, por obra certa, antes de seu término, por iniciativa da empresa. Daí a aplicação do art. 479 da CLT que prevê, para tais casos, não propriamente indenização, mas, no meu entender, espécie de cominação, porque se indenização fosse seria integral, e não pela metade. Esse tem sido meu entendimento, em reiterados pronunciamentos, em idênticos casos. - Assim, nego provimento ao recurso. Proc. TST-RR-2.643/80, Julgado em 09-06-1981 Arquivo do Ementário Forense, TST/1.404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que tenham termo estipulado, o empregador que, sem justa causa, despedir o empregado, será obrigado a pagar-lhe, a título de indenização, e por metade, a remuneração a que teria direito até o termo do contrato,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2026-07-28T01:58:02.004Z</dcterms:created>
  <dcterms:modified xsi:type="dcterms:W3CDTF">2026-07-28T01:58:02.004Z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