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07/06/1981</w:t>
      </w:r>
    </w:p>
    <w:p/>
    <w:p>
      <w:r>
        <w:t xml:space="preserve">FUNÇÕES DE NATUREZA TÉCNICA ESPECIALIZADA — QUAL O SEU REGIME JURÍDICO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dou provimento na forma da reiterada jurisprudência da Corte, em seguimento aos iterativos pronunciamentos do Pretório Excelso para, entendendo incompetente a Justiça do Trabalho, determinar a remessa dos autos, anulados os atos decisórios, a uma das Varas dos Feitos da Fazenda Pública do Estado de S. Paulo. E o faço ao entendimento de que em se tratando de servidor admitido por Estado-membro, em serviços de caráter temporário, ou por ele contratado para funções de natureza técnica especializada, a lei especial que estabelece seu regime jurídico (art. 106 da Carta Magna) é estadual. Em consequência, a relação jurídica existente entre o Estado-membro e o servidor é de natureza administrativa e não trabalhista. Proc. TST-RR-4.054/80, Julgado em 08-06-1981 Arquivo do Ementário Forense, TST/1.407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servidor admitido por Estado-membro, em serviços de caráter temporário, ou por ele contratado para funções de natureza técnica especializada, a lei especial que estabelece seu regime jurídico (art. 106 da Emenda Constitucional nº 1/69) é a estadual. Em consequência, a relação jurídica existente entre o Estado-membro e o servidor é de natureza administrativa, e não trabalhista.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2026-07-28T04:30:00.537Z</dcterms:created>
  <dcterms:modified xsi:type="dcterms:W3CDTF">2026-07-28T04:30:00.538Z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