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07/06/1981</w:t>
      </w:r>
    </w:p>
    <w:p/>
    <w:p>
      <w:r>
        <w:t xml:space="preserve">FUNÇÕES DE NATUREZA TÉCNICA ESPECIALIZADA — QUAL O SEU REGIME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dou provimento na forma da reiterada jurisprudência da Corte, em seguimento aos iterativos pronunciamentos do Pretório Excelso para, entendendo incompetente a Justiça do Trabalho, determinar a remessa dos autos, anulados os atos decisórios, a uma das Varas dos Feitos da Fazenda Pública do Estado de S. Paulo. E o faço ao entendimento de que em se tratando de servidor admitido por Estado-membro, em serviços de caráter temporário, ou por ele contratado para funções de natureza técnica especializada, a lei especial que estabelece seu regime jurídico (art. 106 da Carta Magna) é estadual. Em consequência, a relação jurídica existente entre o Estado-membro e o servidor é de natureza administrativa e não trabalhista. Proc. TST-RR-4.054/80, Julgado em 08-06-1981 Arquivo do Ementário Forense, TST/1.407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servidor admitido por Estado-membro, em serviços de caráter temporário, ou por ele contratado para funções de natureza técnica especializada, a lei especial que estabelece seu regime jurídico (art. 106 da Emenda Constitucional nº 1/69) é a estadual. Em consequência, a relação jurídica existente entre o Estado-membro e o servidor é de natureza administrativa, e não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2026-10-16T17:25:19.021Z</dcterms:created>
  <dcterms:modified xsi:type="dcterms:W3CDTF">2026-10-16T17:25:19.021Z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