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30/11/1981</w:t>
      </w:r>
    </w:p>
    <w:p/>
    <w:p>
      <w:r>
        <w:t xml:space="preserve">PRESTAÇÃO DE SERVIÇOS A DUAS EMPRESAS — QUANDO NÃO PROCEDE A PRETENSÃO DE SEGUNDO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revela basicamente o laudo pericial, não houve aumento de jornada quando o reclamante passou a prestar serviços às duas empresas, certo ainda que em centralizado o exercício da supervisão de vendas, atribuição que lhe cabia. Por outro lado, como reconhece o próprio reclamante, em suas razões, nessa oportunidade, houve um aumento de comissões. Logo, acolhida não merece sua pretensão. Também não prospera o recurso da reclamada (...). Proc. TRT-RO-5.213/S0, Julgado em 01-12-1981 Arquivo do Ementário Forense, TRT/141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Prestação de trabalho a duas empresas do mesmo grupo, quando anteriormente destinado a uma só, sem modificação de jornada com os serviços centralizados e com ligeiro aumento salarial, torna improcedente a pretensão a um segundo salário fundado em novo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2026-07-28T01:44:02.206Z</dcterms:created>
  <dcterms:modified xsi:type="dcterms:W3CDTF">2026-07-28T01:44:02.206Z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