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Julgado em: </w:t>
      </w:r>
      <w:r>
        <w:t xml:space="preserve">30/11/1981</w:t>
      </w:r>
    </w:p>
    <w:p/>
    <w:p>
      <w:r>
        <w:t xml:space="preserve">PRESTAÇÃO DE SERVIÇOS A DUAS EMPRESAS — QUANDO NÃO PROCEDE A PRETENSÃO DE SEGUNDO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revela basicamente o laudo pericial, não houve aumento de jornada quando o reclamante passou a prestar serviços às duas empresas, certo ainda que em centralizado o exercício da supervisão de vendas, atribuição que lhe cabia. Por outro lado, como reconhece o próprio reclamante, em suas razões, nessa oportunidade, houve um aumento de comissões. Logo, acolhida não merece sua pretensão. Também não prospera o recurso da reclamada (...). Proc. TRT-RO-5.213/S0, Julgado em 01-12-1981 Arquivo do Ementário Forense, TRT/141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Prestação de trabalho a duas empresas do mesmo grupo, quando anteriormente destinado a uma só, sem modificação de jornada com os serviços centralizados e com ligeiro aumento salarial, torna improcedente a pretensão a um segundo salário fundado em novo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2026-10-16T16:08:38.771Z</dcterms:created>
  <dcterms:modified xsi:type="dcterms:W3CDTF">2026-10-16T16:08:38.771Z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