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27/05/1981</w:t>
      </w:r>
    </w:p>
    <w:p/>
    <w:p>
      <w:r>
        <w:t xml:space="preserve">SE SÃO COMPUTÁVEIS OS PRESTADOS SOB OS REGIMES CELETISTAS E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Face às reiteradas decisões convergentes ao entendimento esposado no v. acórdão embargado, foi instituída a Súmula 103, que é contrária a pretensão do empregado uma vez que, o tempo de serviço prestado sob a égide da Lei 1.090/53, não se computa para o efeito de gozo de licença-prêmio. - Assim, em vista da jurisprudência sumulada, não conheço dos embargos do autor. Proc. TST-E-RR-1.401/79, Julgado em 28-05-1981 Arquivo do Ementário Forense, TST/1.411 (*) Os trabalhadores que hajam prestado serviço no regime da Lei nº 1.890, de 13 de junho de 1953 e optado pelo regime estatutário não contam, posteriormente, esse período para fins de licença-prêmio, privativa de servidores estatutários." (" EMETÁRIO FORENSE", nº 387).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a égide da Lei 1.090/53, não é computado para efeito do gozo da licença-prêmio.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2026-10-16T16:15:46.406Z</dcterms:created>
  <dcterms:modified xsi:type="dcterms:W3CDTF">2026-10-16T16:15:46.406Z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