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27/05/1981</w:t>
      </w:r>
    </w:p>
    <w:p/>
    <w:p>
      <w:r>
        <w:t xml:space="preserve">SE SÃO COMPUTÁVEIS OS PRESTADOS SOB OS REGIMES CELETISTAS E ESTATUTÁRIO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Face às reiteradas decisões convergentes ao entendimento esposado no v. acórdão embargado, foi instituída a Súmula 103, que é contrária a pretensão do empregado uma vez que, o tempo de serviço prestado sob a égide da Lei 1.090/53, não se computa para o efeito de gozo de licença-prêmio. - Assim, em vista da jurisprudência sumulada, não conheço dos embargos do autor. Proc. TST-E-RR-1.401/79, Julgado em 28-05-1981 Arquivo do Ementário Forense, TST/1.411 (*) Os trabalhadores que hajam prestado serviço no regime da Lei nº 1.890, de 13 de junho de 1953 e optado pelo regime estatutário não contam, posteriormente, esse período para fins de licença-prêmio, privativa de servidores estatutários." (" EMETÁRIO FORENSE", nº 387).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sob a égide da Lei 1.090/53, não é computado para efeito do gozo da licença-prêmio.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2026-07-28T01:57:35.060Z</dcterms:created>
  <dcterms:modified xsi:type="dcterms:W3CDTF">2026-07-28T01:57:35.060Z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