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03/05/1981</w:t>
      </w:r>
    </w:p>
    <w:p/>
    <w:p>
      <w:r>
        <w:t xml:space="preserve">QUANDO SE TORNA NECESSÁRIO QUE SEJA EXPRESSA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nomeação de um novo procurador, sem revogação expressa dos poderes outorgados ao advogado anteriormente constituído, não extingue o mandato judicial deste último. Entende-se que os procuradores foram nomeados para agir em conjunto ou separadamente, independentemente da ordem de nomeação. - Além disso, depois da renúncia da segunda procuradora, a Dra. que subscreve o recurso ordinário, compareceu às audiências realizadas, produziu provas, bem como aduziu razões finais, o que configura mandato tácito, admitido no processo do trabalho (Prejulgado n° 43 (*) do TST). - Conhece-se, pois, do recurso. Proc. TRT-RO-6.334/80, Julgado em 04-05-1981 Arquivo do Ementário Forense, TRT/145 (*) "Não cumpridas as determinações constantes dos parágrafos 1º e 2º do art. 70 da Lei 4.215, de 27-04-1963, não se conhece de qualquer recurso, porque inexistente" (in "EMENTÁRIO FORENSE", nº 299, t. MANDATO JUDICIAL, st. APRESENTAÇÃO)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nomeação de um novo procurador, sem revogação expressa dos poderes outorgados ao advogado anteriormente constituído, não extingue o mandato judicial deste último.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2026-10-16T16:15:41.034Z</dcterms:created>
  <dcterms:modified xsi:type="dcterms:W3CDTF">2026-10-16T16:15:41.034Z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