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13/12/1981</w:t>
      </w:r>
    </w:p>
    <w:p/>
    <w:p>
      <w:r>
        <w:t xml:space="preserve">EMPRESA QUE ENCERRA ATIVIDADES — QUANDO SE IMPÕE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Diante, pois, da cessação das atividades da reclamada, que é público e notório, e a luz do que dispõe o art. 497 da CLT, é de se garantir a indenização, por rescisão do contrato por prazo indeterminado, em dobro, em decorrência da impossibilidade da reintegração. - ............................................................. - Isto posto, conheço de ambos os recursos, dou provimento parcial ao recurso do autor para converter a reintegração, que é impossível, em indenização dobrada, acrescidos dos salários retidos e férias proporcionais e nego provimento ao recurso da reclamada. Proc. TRT-RO-383/81, Julgado em 14-12-1981 Arquivo do Ementário Forense, TRT/147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empresa encerrado suas atividades, tornando impossível a reintegração do empregado estável dispensado, impõe-se a conversão da reintegração em pagamento da indenização em dobro.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2026-07-28T01:36:28.701Z</dcterms:created>
  <dcterms:modified xsi:type="dcterms:W3CDTF">2026-07-28T01:36:28.701Z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