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Julgado em: </w:t>
      </w:r>
      <w:r>
        <w:t xml:space="preserve">13/12/1981</w:t>
      </w:r>
    </w:p>
    <w:p/>
    <w:p>
      <w:r>
        <w:t xml:space="preserve">EMPRESA QUE ENCERRA ATIVIDADES — QUANDO SE IMPÕE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Diante, pois, da cessação das atividades da reclamada, que é público e notório, e a luz do que dispõe o art. 497 da CLT, é de se garantir a indenização, por rescisão do contrato por prazo indeterminado, em dobro, em decorrência da impossibilidade da reintegração. - ............................................................. - Isto posto, conheço de ambos os recursos, dou provimento parcial ao recurso do autor para converter a reintegração, que é impossível, em indenização dobrada, acrescidos dos salários retidos e férias proporcionais e nego provimento ao recurso da reclamada. Proc. TRT-RO-383/81, Julgado em 14-12-1981 Arquivo do Ementário Forense, TRT/147 EMFOR 403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Tendo a empresa encerrado suas atividades, tornando impossível a reintegração do empregado estável dispensado, impõe-se a conversão da reintegração em pagamento da indenização em dobro.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2026-10-16T17:22:48.035Z</dcterms:created>
  <dcterms:modified xsi:type="dcterms:W3CDTF">2026-10-16T17:22:48.035Z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