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21/06/1981</w:t>
      </w:r>
    </w:p>
    <w:p/>
    <w:p>
      <w:r>
        <w:t xml:space="preserve">LOCAL ONDE O EMPREGADO PRESTOU SERVIÇOS AO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preliminar de incompetência "ratione loci", por vislumbrar violado o art. 651 e seus parágrafos da CLT. - Conforme se depreende dos autos, o reclamado ora recorrido, prestou serviços na cidade de São Paulo, vindo, mais tarde, a se aposentar. Pouco importa, "data venia", tenda-se aposentado em Brasília. O que prevalece, "in casu", é o local da efetiva prestação de serviços. - Assim, DOU PROVIMENTO AO RECURSO para declinar da competência, determinando, em consequência, a remessa dos autos a uma das Juntas de Conciliação e Julgamento da Cidade de São Paulo, a que couber por distribuição. Proc. TST-RR-2.878/78, Julgado em 22-06-1981 Arquivo do Ementário Forense, TST/1.388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das Juntas de Conciliação e Julgamento é determinada pela localidade onde o empregado, reclamante ou reclamado, prestar serviços ao empregador, ainda que tenha sido contratado noutro local ou no estrangeiro.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2026-10-16T16:14:06.985Z</dcterms:created>
  <dcterms:modified xsi:type="dcterms:W3CDTF">2026-10-16T16:14:06.985Z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