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21/06/1981</w:t>
      </w:r>
    </w:p>
    <w:p/>
    <w:p>
      <w:r>
        <w:t xml:space="preserve">LOCAL ONDE O EMPREGADO PRESTOU SERVIÇOS AO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pela preliminar de incompetência "ratione loci", por vislumbrar violado o art. 651 e seus parágrafos da CLT. - Conforme se depreende dos autos, o reclamado ora recorrido, prestou serviços na cidade de São Paulo, vindo, mais tarde, a se aposentar. Pouco importa, "data venia", tenda-se aposentado em Brasília. O que prevalece, "in casu", é o local da efetiva prestação de serviços. - Assim, DOU PROVIMENTO AO RECURSO para declinar da competência, determinando, em consequência, a remessa dos autos a uma das Juntas de Conciliação e Julgamento da Cidade de São Paulo, a que couber por distribuição. Proc. TST-RR-2.878/78, Julgado em 22-06-1981 Arquivo do Ementário Forense, TST/1.388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das Juntas de Conciliação e Julgamento é determinada pela localidade onde o empregado, reclamante ou reclamado, prestar serviços ao empregador, ainda que tenha sido contratado noutro local ou no estrangeiro.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2026-07-28T04:24:30.237Z</dcterms:created>
  <dcterms:modified xsi:type="dcterms:W3CDTF">2026-07-28T04:24:30.237Z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