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13/07/1980</w:t>
      </w:r>
    </w:p>
    <w:p/>
    <w:p>
      <w:r>
        <w:t xml:space="preserve">DIREITO ÀS RESPECTIVAS VANTAGENS — NECESSIDADE DE QUE A EMPRESA SEJA DA CATEGORIA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Recurso do reclamante, com parecer contrário da douta Procuradoria Regional, dizendo não haver dúvida da condição jornalística da Reclamada e da sua como jornalista, pelo que pede a procedência do pedido. II - De que o Reclamante, como revisor, era jornalista, não há dúvida e a Reclamada o sabia, tanto que o contratou para cinco horas de trabalho diário e recolhia seu imposto Sindical ao S.J.P.R.J. (...), mas que seja a Reclamada empresa jornalística se resolve pela negativa. III - Sua finalidade estatutária é "a edição, impressão e encadernação de livros em geral e respectivo comércio" (...), o que não se altera pela verificação de integrar ela um grupo que compreende também uma revista (...), a qual é composta e impressa em sua oficinas (...). IV - Daí a impraticabilidade de reconhecer tenha o Reclamante direito às vantagens dos dissídios e acordos coletivos dos jornalistas com a categoria econômica das empresas proprietárias de jornais e revistas, e, fora desses textos, sabido que era chefe de revisão, excluída pelo art. 306 a aplicação no caso dos arts. 303, 304 e 305 (todos da C.L.T.), indevidos os aumentos e a gratificação e chefia inexistente o segundo contrato, desde que resultantes os dois horários da chefia da secção que nos mesmos trabalhava, sem ilegalidade face ao preceito do citado do citado art. 306, tendo sido a rescisão contratual uma só. V - Assim, não prospera o recurso. Proc. TRT-6.646/79, Julgado em 14-07-1980 Arquivo do Ementário Forense, TRT/96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basta ser jornalista para ter direito às vantagens dos dissídios e acordos coletivos da categoria, sendo necessário que a empresa para a qual trabalha também seja da mesma natureza.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2026-07-28T01:33:46.097Z</dcterms:created>
  <dcterms:modified xsi:type="dcterms:W3CDTF">2026-07-28T01:33:46.097Z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