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13/07/1980</w:t>
      </w:r>
    </w:p>
    <w:p/>
    <w:p>
      <w:r>
        <w:t xml:space="preserve">DIREITO ÀS RESPECTIVAS VANTAGENS — NECESSIDADE DE QUE A EMPRESA SEJA DA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Recurso do reclamante, com parecer contrário da douta Procuradoria Regional, dizendo não haver dúvida da condição jornalística da Reclamada e da sua como jornalista, pelo que pede a procedência do pedido. II - De que o Reclamante, como revisor, era jornalista, não há dúvida e a Reclamada o sabia, tanto que o contratou para cinco horas de trabalho diário e recolhia seu imposto Sindical ao S.J.P.R.J. (...), mas que seja a Reclamada empresa jornalística se resolve pela negativa. III - Sua finalidade estatutária é "a edição, impressão e encadernação de livros em geral e respectivo comércio" (...), o que não se altera pela verificação de integrar ela um grupo que compreende também uma revista (...), a qual é composta e impressa em sua oficinas (...). IV - Daí a impraticabilidade de reconhecer tenha o Reclamante direito às vantagens dos dissídios e acordos coletivos dos jornalistas com a categoria econômica das empresas proprietárias de jornais e revistas, e, fora desses textos, sabido que era chefe de revisão, excluída pelo art. 306 a aplicação no caso dos arts. 303, 304 e 305 (todos da C.L.T.), indevidos os aumentos e a gratificação e chefia inexistente o segundo contrato, desde que resultantes os dois horários da chefia da secção que nos mesmos trabalhava, sem ilegalidade face ao preceito do citado do citado art. 306, tendo sido a rescisão contratual uma só. V - Assim, não prospera o recurso. Proc. TRT-6.646/79, Julgado em 14-07-1980 Arquivo do Ementário Forense, TRT/96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ser jornalista para ter direito às vantagens dos dissídios e acordos coletivos da categoria, sendo necessário que a empresa para a qual trabalha também seja da mesma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2026-10-16T16:12:47.382Z</dcterms:created>
  <dcterms:modified xsi:type="dcterms:W3CDTF">2026-10-16T16:12:47.382Z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