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25/11/1989</w:t>
      </w:r>
    </w:p>
    <w:p/>
    <w:p>
      <w:r>
        <w:t xml:space="preserve">QUANDO LHE DEVE SER DADA PREFERÊNCIA PARA A ATESTAÇÃO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atuação refere-se a quatro dias. É inquestionável que a recorrente possui serviço médico organizado, e, nos termos da lei, deve ser dada preferência a essa prova, pois os primeiros quinze dias de doença ficam a cargo do empregador. Não há, no caso, confronto ou rejeição pelo atestado da Previdência Social, mas uma ordem de propriedade em face da situação de fato e de direito. Por outro lado, cumpre ressaltar que o atestado médico do INPS só poderia ter caráter prioritário, se comprovada a impossibilidade de obter o do serviço médico da empresa ou neste não existisse possibilidade relativa à doença do paciente, tais hipóteses, porém, não evidenciadas nos autos. - Dou provimento para julgar improcedente a reclamação. Proc. TST-RR-4.168/79, Julgado em 26-11-1989 VENCIDO O MINISTRO ALVES DE ALMEIDA Arquivo do Ementário Forense, TST/1273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Possuindo a empresa serviço médico organizado e, nos termos da lei, deve lhe ser dada preferência para a atestação, pois os primeiros quinze dias de doença do empregado ficam a cargo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2026-07-28T01:29:23.032Z</dcterms:created>
  <dcterms:modified xsi:type="dcterms:W3CDTF">2026-07-28T01:29:23.032Z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