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25/11/1989</w:t>
      </w:r>
    </w:p>
    <w:p/>
    <w:p>
      <w:r>
        <w:t xml:space="preserve">QUANDO LHE DEVE SER DADA PREFERÊNCIA PARA A ATESTAÇÃO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atuação refere-se a quatro dias. É inquestionável que a recorrente possui serviço médico organizado, e, nos termos da lei, deve ser dada preferência a essa prova, pois os primeiros quinze dias de doença ficam a cargo do empregador. Não há, no caso, confronto ou rejeição pelo atestado da Previdência Social, mas uma ordem de propriedade em face da situação de fato e de direito. Por outro lado, cumpre ressaltar que o atestado médico do INPS só poderia ter caráter prioritário, se comprovada a impossibilidade de obter o do serviço médico da empresa ou neste não existisse possibilidade relativa à doença do paciente, tais hipóteses, porém, não evidenciadas nos autos. - Dou provimento para julgar improcedente a reclamação. Proc. TST-RR-4.168/79, Julgado em 26-11-1989 VENCIDO O MINISTRO ALVES DE ALMEIDA Arquivo do Ementário Forense, TST/1273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Possuindo a empresa serviço médico organizado e, nos termos da lei, deve lhe ser dada preferência para a atestação, pois os primeiros quinze dias de doença do empregado ficam a cargo do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2026-10-16T16:12:10.791Z</dcterms:created>
  <dcterms:modified xsi:type="dcterms:W3CDTF">2026-10-16T16:12:10.791Z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