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>
      <w:r>
        <w:rPr>
          <w:b/>
          <w:bCs/>
        </w:rPr>
        <w:t xml:space="preserve">Julgado em: </w:t>
      </w:r>
      <w:r>
        <w:t xml:space="preserve">28/03/1979</w:t>
      </w:r>
    </w:p>
    <w:p/>
    <w:p>
      <w:r>
        <w:t xml:space="preserve">OBTENÇÃO DE VANTAGEM DE NATUREZA TRABALHISTA —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Acolho a lúcida fundamentação do parecer do Procurador-Geral da República. - Esta Corte, aliás, ao Julgar o CJ 6.107, relator o Min. CUNHA PEIXOTO, deu pela competência da Justiça do Trabalho em hipótese semelhante à presente: reclamação de trabalhadores avulsos visando à obtenção de vantagem de natureza nitidamente trabalhista (remuneração relativa a repouso obrigatório). - Em face do exposto, conheço do conflito e dou pela competência da suscitada: 10ª Junta de Conciliação e Julgamento de Porto Alegre (RS). Julgado em 29-03-1979 Revista Trimestral de Jurisprudência. Julho, 1980 - Vol. 93 - Pág. 53 EMFOR 391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da competência da Justiça do Trabalho o processo e julgamento da ação proposta por trabalhadores avulsos para a obtenção de vantagem de natureza trabalhista (remuneração relativa a repouso obrigatório).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2026-10-16T17:23:32.869Z</dcterms:created>
  <dcterms:modified xsi:type="dcterms:W3CDTF">2026-10-16T17:23:32.869Z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