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25/11/1980</w:t>
      </w:r>
    </w:p>
    <w:p/>
    <w:p>
      <w:r>
        <w:t xml:space="preserve">ATO ATENTATÓRIO À BOA ORDEM PROCESSUAL — PRÁTICA POR TRIBUNAL REGIONAL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realidade, o Regimento Interno do TRT da 3ª Região (art. 160, "a"), defere à parte a faculdade de se utilizar do agravo regimental para o Pleno contra as decisões emanadas do seu presidente, em função corregedora. - Revela-se, assim, inadequado ao fim perseguido o procedimento do reclamante, uma vez que o inciso II do art. 22 do Regimento Interno desta Corte, dá competência ao Corregedor-Geral para "decidir reclamações contra os atos atentatórios à boa ordem processual, praticados pelos Tribunais Regionais, seus Presidentes e Juizes, quando inexistir recurso específico". - Além do mais, tem esta Corte entendido que os Tribunais Regionais podem criar "via regimental" agravos dos despachos do Corregedor Regional. E isso porque foi abolida da legislação a norma que durante algum tempo vigorou, ensejando recurso do despacho do Corregedor Regional para o Corregedor-Geral. - Assim, do despacho impugnado cabia recurso específico, não usado pela parte "oportuno temporae", razão pela qual e estando preclusa a matéria, nego provimento ao agravo. - É o meu voto. Proc. TST-AG-RC-11.313/80, Julgado em 26-11-1980 Arquivo do Ementário Forense, TST/1262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II do art. 22, do Regimento Interno do Tribunal Superior do Trabalho, dá competência ao Corregedor-Geral para "decidir reclamações contra atos atentatórios à boa ordem processual, praticados pelos Tribunais Regionais, seus Presidentes e Juizes quando inexistir recurso específico."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2026-07-28T01:57:26.785Z</dcterms:created>
  <dcterms:modified xsi:type="dcterms:W3CDTF">2026-07-28T01:57:26.785Z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