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Julgado em: </w:t>
      </w:r>
      <w:r>
        <w:t xml:space="preserve">15/06/1980</w:t>
      </w:r>
    </w:p>
    <w:p/>
    <w:p>
      <w:r>
        <w:t xml:space="preserve">BENEFÍCIO NÃO GOZADO A PEDIDO DO EMPREGADO — SE O EXCLUI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argumentos da apelante de que as férias não foram efetivamente gozadas, diante do interesse do empregado de que fossem negociadas, são irrelevantes, porque contrários à lei. - O descanso anual decorre, fundamental, de exigência orgânica do prestador de trabalho, impedindo o artigo 138 da CLT que essa fruição sela substituída "in totum" por pecúnia. - Assim, qualquer que seja o motivo da prestação de serviço pelo empregado no período de férias, corresponde ao não gozo do benefício, respondendo o empregador pelas consequências legais daí advindas. - Negado provimento ao recurso. Julgado em 16-06-1980 Arquivo do Ementário Forense, TRT/51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Férias não gozadas, ainda que a pedido do empregado, obrigam o pagamento do valor correspondente, de forma dobrada porque ao empregador incumbe a fixação de sua fruição.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2026-10-16T17:23:07.830Z</dcterms:created>
  <dcterms:modified xsi:type="dcterms:W3CDTF">2026-10-16T17:23:07.830Z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