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Julgado em: </w:t>
      </w:r>
      <w:r>
        <w:t xml:space="preserve">15/06/1980</w:t>
      </w:r>
    </w:p>
    <w:p/>
    <w:p>
      <w:r>
        <w:t xml:space="preserve">BENEFÍCIO NÃO GOZADO A PEDIDO DO EMPREGADO — SE O EXCLUI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argumentos da apelante de que as férias não foram efetivamente gozadas, diante do interesse do empregado de que fossem negociadas, são irrelevantes, porque contrários à lei. - O descanso anual decorre, fundamental, de exigência orgânica do prestador de trabalho, impedindo o artigo 138 da CLT que essa fruição sela substituída "in totum" por pecúnia. - Assim, qualquer que seja o motivo da prestação de serviço pelo empregado no período de férias, corresponde ao não gozo do benefício, respondendo o empregador pelas consequências legais daí advindas. - Negado provimento ao recurso. Julgado em 16-06-1980 Arquivo do Ementário Forense, TRT/51 EMFOR 391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Férias não gozadas, ainda que a pedido do empregado, obrigam o pagamento do valor correspondente, de forma dobrada porque ao empregador incumbe a fixação de sua fruição.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2026-07-28T04:24:33.982Z</dcterms:created>
  <dcterms:modified xsi:type="dcterms:W3CDTF">2026-07-28T04:24:33.982Z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