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08/12/1980</w:t>
      </w:r>
    </w:p>
    <w:p/>
    <w:p>
      <w:r>
        <w:t xml:space="preserve">EMPREGADO MENSALISTA — SE PERDE O DIREITO AO REPOUSO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salienta o acórdão paradigma, o desconto a que está sujeito o empregado pela ausência ao serviço restringe-se ao salário do dia, não cabendo a perda do repouso semanal. A exigência de frequência integral, na semana, refere-se ao empregado diarista. - Dou provimento para julgar procedente o pagamento dos dias de repouso remunerado. Proc. TST-RR-5.100/79, Julgado em 09-12-1980 Arquivo do Ementário Forense, TST/1269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mensalista, que faltar ao serviço, fica sujeito a perda do salário correspondente ao dia de ausência, sem prejuízo do repouso semanal remunerado. A exigência de frequência integral, na semana, restringe-se ao empregado diarista.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2026-07-28T01:35:57.230Z</dcterms:created>
  <dcterms:modified xsi:type="dcterms:W3CDTF">2026-07-28T01:35:57.230Z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