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08/12/1980</w:t>
      </w:r>
    </w:p>
    <w:p/>
    <w:p>
      <w:r>
        <w:t xml:space="preserve">EMPREGADO MENSALISTA — SE PERDE O DIREITO AO REPOUSO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 o acórdão paradigma, o desconto a que está sujeito o empregado pela ausência ao serviço restringe-se ao salário do dia, não cabendo a perda do repouso semanal. A exigência de frequência integral, na semana, refere-se ao empregado diarista. - Dou provimento para julgar procedente o pagamento dos dias de repouso remunerado. Proc. TST-RR-5.100/79, Julgado em 09-12-1980 Arquivo do Ementário Forense, TST/1269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mensalista, que faltar ao serviço, fica sujeito a perda do salário correspondente ao dia de ausência, sem prejuízo do repouso semanal remunerado. A exigência de frequência integral, na semana, restringe-se ao empregado diarista.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2026-10-16T17:22:24.440Z</dcterms:created>
  <dcterms:modified xsi:type="dcterms:W3CDTF">2026-10-16T17:22:24.440Z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