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Julgado em: </w:t>
      </w:r>
      <w:r>
        <w:t xml:space="preserve">15/06/1980</w:t>
      </w:r>
    </w:p>
    <w:p/>
    <w:p>
      <w:r>
        <w:t xml:space="preserve">REEMBOLSO DE DESPESAS DE VIAGEM E ALOJAMENTO — SE PODE SER COMO TAL CONSIDERADO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Requer o autor que o valor das despesas decorrentes da habitação e alimentação seja integrado em sua remuneração, como parcela salarial. - Embora controvertida a questão, esta Turma entende que não constituem salário "in natura" tais prestações fornecidas ao empregado quando elas integram o contrato, como condição necessária para a sua execução. Não se trata de um componente da contraprestação, mas da própria prestação de trabalho, sujeita à comprovação do gasto mediante apresentação de notas à empresa. Sua natureza é tipicamente indenizatória, tratando-se de típica ajuda de custo. Julgado em 16-06-1980 Arquivo do Ementário Forense, TRT/53 EMFOR 391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reembolso de despesas efetivas e comprovadamente realizadas e o fornecimento de alojamento no percurso da viagem não constituem prestações salariais "in natura", mas ajudas de custo e meio para a normal execução da prestação.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2026-10-16T17:20:19.546Z</dcterms:created>
  <dcterms:modified xsi:type="dcterms:W3CDTF">2026-10-16T17:20:19.546Z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