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Julgado em: </w:t>
      </w:r>
      <w:r>
        <w:t xml:space="preserve">15/06/1980</w:t>
      </w:r>
    </w:p>
    <w:p/>
    <w:p>
      <w:r>
        <w:t xml:space="preserve">REEMBOLSO DE DESPESAS DE VIAGEM E ALOJAMENTO — SE PODE SER COMO TAL CONSIDERADO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Requer o autor que o valor das despesas decorrentes da habitação e alimentação seja integrado em sua remuneração, como parcela salarial. - Embora controvertida a questão, esta Turma entende que não constituem salário "in natura" tais prestações fornecidas ao empregado quando elas integram o contrato, como condição necessária para a sua execução. Não se trata de um componente da contraprestação, mas da própria prestação de trabalho, sujeita à comprovação do gasto mediante apresentação de notas à empresa. Sua natureza é tipicamente indenizatória, tratando-se de típica ajuda de custo. Julgado em 16-06-1980 Arquivo do Ementário Forense, TRT/53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reembolso de despesas efetivas e comprovadamente realizadas e o fornecimento de alojamento no percurso da viagem não constituem prestações salariais "in natura", mas ajudas de custo e meio para a normal execução da prestação.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2026-07-28T01:28:03.172Z</dcterms:created>
  <dcterms:modified xsi:type="dcterms:W3CDTF">2026-07-28T01:28:03.172Z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