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10/11/1980</w:t>
      </w:r>
    </w:p>
    <w:p/>
    <w:p>
      <w:r>
        <w:t xml:space="preserve">SE DELE SE EXIME O EMPREGADOR NO CASO DE SER LÍCITA A TRANSFERÊNCIA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ser lícita a transferência não exime o empregador da obrigação de pagar o acréscimo salarial, pois esta é uma complementação justificada pela lei, para o natural acréscimo de despesas do empregado. A transferência na espécie, foi provisória, para diversas cidades dentro e fora do Estado. - Dou provimento para julgar procedente o pedido do adicional de transferência. Proc. TST-RR-4.998/79, Julgado em 11-11-1980 Arquivo do Ementário Forense, TST/1274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ser lícita a transferência não exime o empregador da obrigação de pagar o acréscimo salarial, pois esta é uma complementação justificada pela lei, para o natural acréscimo de despesas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2026-10-16T16:14:50.702Z</dcterms:created>
  <dcterms:modified xsi:type="dcterms:W3CDTF">2026-10-16T16:14:50.702Z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