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10/11/1980</w:t>
      </w:r>
    </w:p>
    <w:p/>
    <w:p>
      <w:r>
        <w:t xml:space="preserve">SE DELE SE EXIME O EMPREGADOR NO CASO DE SER LÍCITA A TRANSFERÊNCIA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ser lícita a transferência não exime o empregador da obrigação de pagar o acréscimo salarial, pois esta é uma complementação justificada pela lei, para o natural acréscimo de despesas do empregado. A transferência na espécie, foi provisória, para diversas cidades dentro e fora do Estado. - Dou provimento para julgar procedente o pedido do adicional de transferência. Proc. TST-RR-4.998/79, Julgado em 11-11-1980 Arquivo do Ementário Forense, TST/1274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ser lícita a transferência não exime o empregador da obrigação de pagar o acréscimo salarial, pois esta é uma complementação justificada pela lei, para o natural acréscimo de despesas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2026-07-28T01:53:41.311Z</dcterms:created>
  <dcterms:modified xsi:type="dcterms:W3CDTF">2026-07-28T01:53:41.311Z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