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09/02/1980</w:t>
      </w:r>
    </w:p>
    <w:p/>
    <w:p>
      <w:r>
        <w:t xml:space="preserve">SERVIÇOS EXTRAORDINÁRIOS — CONTRATAÇÕES EXCEPCIONAIS - QUANDO NÃO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empresa usa os caldeireiros, periodicamente, para manutenção nos períodos de parada. As normas da Lei nº 6.019 foram obedecidas e o próprio Regional reconhece que não há intervalo menor de três meses entre uma e outra convocação. Assim, enquadra-se a hipótese no trabalho extraordinário que a Lei nº 6.019 admite para convocação de mão-de-obra temporária, se caracterizando os recorridos como empregador da recorrente porque prestam serviços eventuais. - Conhecendo da revista por violação do art. 1º da Lei nº 6.019, dou provimento para decretar a improcedência da reclamação. Proc. TST-RR-3.530/80, Julgado em 10-02-1980 Arquivo do Ementário Forense, TST/1313 EMFOR 394 EMENTA: - Não se acumulam o adicional de insalubridade e o adicional de periculosidade. Os parágrafos 1º e 2º do art. 193 da CLT asseguram um adicional de 30% sobre o salário, facultado ao empregado a opção. RESUMO DO ACÓRDÃO: - ... Restou configurada ante a conclusão da instância ordinária, a existência de periculosidade, porque trabalhando os autores na mina a 270 metros abaixo do nível, nesse local existe um quarto denominado quarto de metralha, onde são guardados explosivos. Considera a manipulação com dinamite uma operação de natureza delicada, face a possibilidade do risco de explosão, e aplicou o v. acórdão o art. 193 da CLT. - Contudo, não deferiu a acumulação do adicional de insalubridade com o adicional de periculosidade, ao argumento de que a própria lei anterior já vedava a acumulação, restando bem clara a atual. - Assevera que o art. 193, § 1º da CLT, assegura ao empregado que trabalha em condições de periculosidade um adicional de 30% sobre os salários, contudo, a seguir o § 2º está assim descrito: "O empregado poderá optar pelo adicional de insalubridade que porventura lhe seja devido". - Concluiu por prover o recurso para deferir o adicional de 30% na forma da atual lei, facultando-lhes o recebimento do adicional por insalubridade mantido na base da sentença do 1º grau. - A matéria que pretendem os autores ver novamente discutida, foi razoavelmente interpretada pelo v. acórdão, não permitindo o conhecimento da revista pela violação indicada. Proc. TST-RR-3.503/79, Julgado em 03-02-1981 Arquivo do Ementário Forense, TST/1305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tomada de mão-de-obra extra para serviços extraordinários, não caracteriza a relação empregatícia, se as contratações foram excepcionais.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2026-07-28T01:18:36.701Z</dcterms:created>
  <dcterms:modified xsi:type="dcterms:W3CDTF">2026-07-28T01:18:36.701Z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