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19/05/1981</w:t>
      </w:r>
    </w:p>
    <w:p/>
    <w:p>
      <w:r>
        <w:t xml:space="preserve">AFERIÇÃO DA RESPECTIVA TAXA — FALTA DE CRÉDITO LEGAL - SOLUÇÃO ADOTADA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presente recurso ordinário do Sindicato suscitando se insurge unicamente contra a taxa de produtividade decretada, alegando tratar-se da negociação. Sem meios o Poder Judiciário para decretar a taxa de aumento. DO VOTO - Na realidade, até a presente data não foi fixado pelo Poder Executivo ou Legislativo quais os critérios a serem adotados na aferição da produtividade. - Este Tribunal partindo da possibilidade legal para a concessão deste aumento salarial especial é condicional, resolveu adotar genericamente a taxa de 4% que tem sido admitida pelo Poder Executivo em hipóteses sujeitas a sua ação. - Muitos são os critérios, sistemas ou métodos para a verificação da produtividade e para a fixação de seu percentual ou taxa, evidentemente variáveis de acordo com as atividades econômicas e profissionais. - Enquanto não se determina por lei o procedimento a ser adotado, parece-nos de grande valia, o estabelecimento dentro das empresas de uma comissão de representantes dos empregados e da empresa para adotando o critério conveniente ajustado a categoria, apurar durante o ano a ocorrência ou não do aumento da produtividade. - Entrementes, na hipótese vertente, continuo a seguir a jurisprudência deste Tribunal que concede uma taxa de produtividade de 4% pelo que, nego provimento ao recurso. Proc. TST-RO-DC-149/81, Julgado em 20-05-1981 Arquivo do Ementário Forense, TST/1327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de produtividade de 4% é a adotada para a categoria dos empregados em comunicação e publicidade, enquanto não estabelecidos os critérios de sua aferição.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2026-10-16T17:23:32.498Z</dcterms:created>
  <dcterms:modified xsi:type="dcterms:W3CDTF">2026-10-16T17:23:32.498Z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