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23/03/1981</w:t>
      </w:r>
    </w:p>
    <w:p/>
    <w:p>
      <w:r>
        <w:t xml:space="preserve">DECRETAÇÃO, PORÉM COM APRECIAÇÃO DO MÉRITO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quando afirma que, na ação anterior, houve impropriedade nominal no modo de julgar, ao se dar pela carência da ação, quando foi devidamente analisado o "meritum causae" e se chegou à conclusão da improcedência da reclamação, como se vê. No caso, realmente aplica-se norma processual do § 4º do art. 301, do Código Processo Civil, para reconhecer de ofício a coisa julgada e aplicar suas consequências jurídicas. Todavia o decisório regional, não violou o art. 268 do Código de Processo Civil e tratando-se de complementação de aposentadoria com menos de 30 anos, matéria já sumulada não conheço do recurso. Proc. TST-RR-1.820, Julgado em 24-03-1981 Arquivo do Ementário Forense, TST/1345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coisa julgada, é vedado ajuizar nova ação sobre a mesma matéria, quando, apesar da decretação da carência da ação, houve apreciação do mérito da causa e o correto teria sido declarar a improcedência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2026-07-28T01:36:32.791Z</dcterms:created>
  <dcterms:modified xsi:type="dcterms:W3CDTF">2026-07-28T01:36:32.791Z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