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Julgado em: </w:t>
      </w:r>
      <w:r>
        <w:t xml:space="preserve">13/05/1981</w:t>
      </w:r>
    </w:p>
    <w:p/>
    <w:p>
      <w:r>
        <w:t xml:space="preserve">SUSPENSÃO DA EXECUÇÃO POR AUSÊNCIA DE BENS A PENHORA — SE EXTINGUE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presentes autos foram remetidos ao arquivo com suspensão da execução por força do despacho... diante da ausência de bens a penhorar. Entende o agravante configurada a extinção do feito. Mas tal não ocorre através de mero despacho administrativo de arquivamento. Através deste arquivam-se os autos do processo e não o processo. A extinção deste só produz efeito quando declarada por sentença conforme art. 329 do Código de Processo Civil. - ........................................................... Julgado em 14-05-1981 Arquivo do Ementário Forense, TRT/64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arquivamento por mero despacho administrativo não traduz a extinção do feito. - Esta deve ser declarada por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2026-07-28T01:58:40.191Z</dcterms:created>
  <dcterms:modified xsi:type="dcterms:W3CDTF">2026-07-28T01:58:40.191Z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