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Julgado em: </w:t>
      </w:r>
      <w:r>
        <w:t xml:space="preserve">13/05/1981</w:t>
      </w:r>
    </w:p>
    <w:p/>
    <w:p>
      <w:r>
        <w:t xml:space="preserve">SUSPENSÃO DA EXECUÇÃO POR AUSÊNCIA DE BENS A PENHORA — SE EXTINGUE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presentes autos foram remetidos ao arquivo com suspensão da execução por força do despacho... diante da ausência de bens a penhorar. Entende o agravante configurada a extinção do feito. Mas tal não ocorre através de mero despacho administrativo de arquivamento. Através deste arquivam-se os autos do processo e não o processo. A extinção deste só produz efeito quando declarada por sentença conforme art. 329 do Código de Processo Civil. - ........................................................... Julgado em 14-05-1981 Arquivo do Ementário Forense, TRT/64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arquivamento por mero despacho administrativo não traduz a extinção do feito. - Esta deve ser declarada por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2026-10-16T17:26:35.326Z</dcterms:created>
  <dcterms:modified xsi:type="dcterms:W3CDTF">2026-10-16T17:26:35.326Z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