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EMPRESA SOB INTERVENÇÃO FEDERAL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17/05/1981</w:t>
      </w:r>
    </w:p>
    <w:p/>
    <w:p>
      <w:r>
        <w:t xml:space="preserve">RECLAMAÇÃO AJUIZADA PELO EMPREGADO CONTRA O EMPREGADOR — 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Longa foi a discussão sobre a matéria num dos julgados do E. STF a respeito do assunto. E a conclusão, como se vê da "LTr" janeiro de 1980, foi no sentido de que é competente a Justiça do Trabalho desde que ajuizada a reclamação sobre o PIS contra o empregador. - A eventual solução para o feito poderá ser pela carência da ação como preliminar de mérito. - A Revista, para conhecimento está fundamentada. Dela conheço. - E, nestes termos, conforme as considerações supra, acolho a revista e, afirmando a competência da Justiça do Trabalho, determino a volta dos autos à Junta de origem para que julgue a reclamação como de direito. Proc. TST-RR.-1.818/80, Julgado em 18-05-1981 VENCIDO O MINISTRO BARATA SILVA (revisor). Arquivo do Ementário Forense, TST/1347 EMFOR 395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Justiça do Trabalho é competente para julgar reclamação sobre o PIS, ajuizada pelo empregado contra seu empregador.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2026-07-28T01:36:40.625Z</dcterms:created>
  <dcterms:modified xsi:type="dcterms:W3CDTF">2026-07-28T01:36:40.625Z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