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07/08/1979</w:t>
      </w:r>
    </w:p>
    <w:p/>
    <w:p>
      <w:r>
        <w:t xml:space="preserve">DECISÃO QUE CONTRARIA A CONSTITUIÇÃO — RECURSOS AINDA NÃO EXAURIDOS NO TST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art. 143 da Constituição Federal, na redação que lhe foi dada pela Emenda nº 7/77, não aluda como o faz o art. 119, III - a "causas decididas em única ou última instância", mas se limite a declarar que "das decisões do Tribunal Superior do Trabalho somente caberá recurso para o Supremo Tribunal Federal quando contrariarem esta Constituição", o citado requisito intrínseco de admissibilidade do recurso extraordinário é da própria índole desse instrumento processual. E se o referido art. 143 da Constituição se adstringe o objeto do recurso - que será somente a restringir ofensa ao texto constitucional é evidente que, desde que não estejam vinculados a essa restrição, os demais aspectos do recurso extraordinário inclusive o requisito de admissibilidade acima referido devem ser observados. - No caso como se viu do relatório o recurso extraordinário foi interposto expressamente, contra o acórdão prolatado na revista, alegando se sua tempestividade em face do despacho que não admitiu os embargos. - Ora, contra a decisão proferida na revista não era cabível recurso extraordinário por ser esta recorrível, no próprio âmbito da Justiça do Trabalho, por meio de emba rgos, e contra o despacho que não o era, uma vez que essa denegação poderia ter sido atacada, na instância trabalhista, mediante agravo regimental a ser julgado, se não reconsiderado não os admitiram também o despacho pelo Plenário do Tribunal Superior do Trabalho. - Portanto, o presente recurso extraordinário não é cabível quer contra o acórdão prolatado na revista, quer contra o despacho que não admitiu os embargos. Em ambas as hipóteses, não se preenche o requisito intrínseco de admissibilidade: o cabimento do recurso, por não ser ele o adequado em face de causa decidida em única ou última instância. - Em face dessa circunstância, que afasta outras considerações, não conheço, preliminarmente, do presente recurso. Julgado em 08-08-1979 Revista Trimestral de Jurisprudência. Novembro, 1980 - Vol. 94 - Pág. 878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art. 143 da Constituição Federal, na redação que lhe foi dada pela Emenda nº 7/77, não aluda - como o faz o art. 119 III - a "causas decididas em única ou última instância", mas se limite a declarar que "das decisões do Tribunal Superior do Trabalho somente caberá recurso para o Supremo Tribunal Federal, quando contrariarem a Constituição", o citado requisito intrínseco de admissibilidade do recurso extraordinário é da própria índole desse instrumento processual - Não é cabível portanto, recurso extraordinário contra decisão do TST prolatada em revista, ou contra despacho que não admitiu embargos interpostos contra aquela, pois em ambos os casos não se exauriu a via de recursos na instância trabalhista.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2026-07-28T03:39:34.893Z</dcterms:created>
  <dcterms:modified xsi:type="dcterms:W3CDTF">2026-07-28T03:39:34.893Z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