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RENÚNCIA AOS DIREITOS TRABALHISTAS</w:t>
      </w:r>
    </w:p>
    <w:p/>
    <w:p>
      <w:r>
        <w:rPr>
          <w:b/>
          <w:bCs/>
        </w:rPr>
        <w:t xml:space="preserve">Julgado em: </w:t>
      </w:r>
      <w:r>
        <w:t xml:space="preserve">23/08/1981</w:t>
      </w:r>
    </w:p>
    <w:p/>
    <w:p>
      <w:r>
        <w:t xml:space="preserve">QUANDO NÃO TEM O ADVOGADO QUALIDADE PARA SUBSTITUÍ-LO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advogado, com mandato ou sem ele, não tem qualidade para substituir o reclamado na audiência inicial. A lei exige a presença do próprio reclamado, que se poderá fazer substituir pelo gerente ou qualquer outro preposto que tenha conhecimento do fato. Não pode um profissional liberal se arrogar o direito de substituir o reclamado apenas pelo fato de ter sido nomeado seu procurador. O art. 843 da CLT requer a presença do reclamado, pessoalmente, na audiência inicial, e o art. 844 sanciona a sua ausência com as penas de revelia a confissão ficta. Na espécie, o reclamado fora regulamente citado para a audiência e a ela não comparecera. Corretamente foram-lhe aplicadas as penas de revelia e confissão ficta. Rejeita-se a pretendida nulidade processual. Proc.TRT-907 /81, Julgado em 24-08-1981 Arquivo do Ementário Forense, TRT/92 EMFOR 399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advogado regulamente constituído não tem, no processo do trabalho, qualidade para substituir o reclamado na audiência inicial, a teor dos arts. 843 e 844 da CLT.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2026-10-16T16:59:40.486Z</dcterms:created>
  <dcterms:modified xsi:type="dcterms:W3CDTF">2026-10-16T16:59:40.486Z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