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21/06/1981</w:t>
      </w:r>
    </w:p>
    <w:p/>
    <w:p>
      <w:r>
        <w:t xml:space="preserve">CÁLCULO — BASE - SUA CORRESPONDÊNCIA  A UMA HORA NORMAL DE TRABALHADO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 a Recorrente contra o cálculo de horas extras sobre o salário acrescido do valor da etapa. - Entendo, ''data venia'', que as horas extras, quando prestadas, devem ser calculadas sobre o valor da hora normal. Dizer que o valor dos adicionais compulsórios tem certa natureza salarial não os equipara a salário normal. É salário extraordinário. É o cálculo das horas extras incidindo sobre o que já é extraordinário geraria um círculo vicioso, sem fim. - Assim, DOU PROVIMENTO AO RECURSO para determinar que o cálculo das horas extras seja feito sobre o valor da hora normal. Proc. TST-RR-4.444/80, Julgado em 22-06-1981 VENCIDOS OS MINISTRO MARCELO PIMENTEL (revista) e FERMINO BIMBI. Arquivo do Ementário Forense, TST/1380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extras, quando prestadas pelo marítimo, devem ser calculadas sobre o valor da hora normal, excluída a parcela denominada etapa.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2026-10-26T03:43:08.727Z</dcterms:created>
  <dcterms:modified xsi:type="dcterms:W3CDTF">2026-10-26T03:43:08.727Z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