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Julgado em: </w:t>
      </w:r>
      <w:r>
        <w:t xml:space="preserve">07/10/1988</w:t>
      </w:r>
    </w:p>
    <w:p/>
    <w:p>
      <w:r>
        <w:t xml:space="preserve">TÉRMINO DO CONTRATO DE TRABALHO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período de aviso prévio é considerado como tempo de serviço para todos os efeitos. Assim, o término do contrato de trabalho deve coincidir com o do período de aviso prévio, ainda que o mesmo seja pago ao empregado sem que se lhe exija a prestação de serviços. - ......................................................... - Dou provimento ao recurso para determinar que a reclamada retifique a data do término do contrato de trabalho do reclamante para o dia em que terminaria o aviso prévio, se trabalhado e para que o valor do repouso semanal seja computado para efeito das parcelas devidas ao recorrente, conforme ficar apurado em liquidação. Proc. TRT-1.327/80, Julgado em 08-10-1988 Arquivo Ementário Forense, TRT/138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o empregador pague o aviso prévio, não exigindo que o empregado trabalhe no curso do período correspondente, o término do contrato de trabalho deve ser lançado na carteira de trabalho do empregado coincidindo com a data em que terminaria o pacto laboral se o empregado trabalhasse durante o aviso prévio.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2026-09-10T23:13:28.824Z</dcterms:created>
  <dcterms:modified xsi:type="dcterms:W3CDTF">2026-09-10T23:13:28.824Z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