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13/11/1981</w:t>
      </w:r>
    </w:p>
    <w:p/>
    <w:p>
      <w:r>
        <w:t xml:space="preserve">INCIDÊNCIA SOBRE GRATIFICAÇÃO ANUAL (13º) — FÉRIAS E FGTS - NÃO INCIDÊNCIA SOBRE REPOUSO E FERIADOS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faz jus a trabalhadora ao pagamento das diferenças pretendidas a título de adicional de insalubridade, parcelas vencidas e vincendas, em montante a ser apurado em liquidação de sentença, respeitada a prescrição bienal argüida na defesa. Tais diferenças, respeitada, também, a prescrição haverão de se refletir, dada a sua natureza, nas horas extras de trabalho, na gratificação natalina, nas férias e nos depósitos do FGTS. Não se refletirão no cálculo dos repousos semanais e dos feriados, tendo em vista o critério legal de cálculo do questionado adicional (art. 192 da CLT ) e a regra constante do § 2º do art. 7º da Lei nº 605/49. Proc. TRT-1.010/81, Julgado em 14-11-1981 arquivo do Ementário forense, TRT/137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 adicional de insalubridade reflete-se nas horas extras, na gratificação natalina, nas férias e no FGTS. Não, porém, no cálculo dos repousos semanais e feriados (art. 192, na CLT. Combinado com o § 2º do art. 7º da Lei nº 605/49.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2026-09-10T22:18:40.595Z</dcterms:created>
  <dcterms:modified xsi:type="dcterms:W3CDTF">2026-09-10T22:18:40.595Z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