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13/11/1981</w:t>
      </w:r>
    </w:p>
    <w:p/>
    <w:p>
      <w:r>
        <w:t xml:space="preserve">INCIDÊNCIA SOBRE GRATIFICAÇÃO ANUAL (13º) — FÉRIAS E FGTS - NÃO INCIDÊNCIA SOBRE REPOUSO E FERIADOS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faz jus a trabalhadora ao pagamento das diferenças pretendidas a título de adicional de insalubridade, parcelas vencidas e vincendas, em montante a ser apurado em liquidação de sentença, respeitada a prescrição bienal argüida na defesa. Tais diferenças, respeitada, também, a prescrição haverão de se refletir, dada a sua natureza, nas horas extras de trabalho, na gratificação natalina, nas férias e nos depósitos do FGTS. Não se refletirão no cálculo dos repousos semanais e dos feriados, tendo em vista o critério legal de cálculo do questionado adicional (art. 192 da CLT ) e a regra constante do § 2º do art. 7º da Lei nº 605/49. Proc. TRT-1.010/81, Julgado em 14-11-1981 arquivo do Ementário forense, TRT/137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 adicional de insalubridade reflete-se nas horas extras, na gratificação natalina, nas férias e no FGTS. Não, porém, no cálculo dos repousos semanais e feriados (art. 192, na CLT. Combinado com o § 2º do art. 7º da Lei nº 605/49.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2026-10-26T03:47:07.017Z</dcterms:created>
  <dcterms:modified xsi:type="dcterms:W3CDTF">2026-10-26T03:47:07.017Z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