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14/12/1980</w:t>
      </w:r>
    </w:p>
    <w:p/>
    <w:p>
      <w:r>
        <w:t xml:space="preserve">SE COMO TAL SE LEGITIMA O CONTADOR DA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Nosso entendimento é o de que pode ser preposto o contador da empresa ainda que não empregado desde que tenha conhecimento dos fatos que originaram a ação. - A lei apenas diz de preposto, figura característica do direito comercial e este não tem necessariamente de ser empregado da empresa em que trabalha. - Na hipótese, acolho a nulidade por cerceamento de defesa e desde já admitindo a representação do preposto. - Dou provimento para anulando os atos processuais desde a admissão em que se decretou a revelia, prosseguindo-se nos ulteriores de direito. Proc.TST-RR-888/80, Julgado em 15-12-1980 VENCIDOS OS MINISTROS PRATES DE MACEDO (relator) e ALVES DE ALMEIDA Arquivo do Ementário Forense, TST/1291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Contador de empresa, embora não empregado, desde que tenha conhecimento dos fatos que originaram a ação, pode ser preposto.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2026-09-10T22:23:09.487Z</dcterms:created>
  <dcterms:modified xsi:type="dcterms:W3CDTF">2026-09-10T22:23:09.487Z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