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14/12/1980</w:t>
      </w:r>
    </w:p>
    <w:p/>
    <w:p>
      <w:r>
        <w:t xml:space="preserve">SE COMO TAL SE LEGITIMA O CONTADOR DA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Nosso entendimento é o de que pode ser preposto o contador da empresa ainda que não empregado desde que tenha conhecimento dos fatos que originaram a ação. - A lei apenas diz de preposto, figura característica do direito comercial e este não tem necessariamente de ser empregado da empresa em que trabalha. - Na hipótese, acolho a nulidade por cerceamento de defesa e desde já admitindo a representação do preposto. - Dou provimento para anulando os atos processuais desde a admissão em que se decretou a revelia, prosseguindo-se nos ulteriores de direito. Proc.TST-RR-888/80, Julgado em 15-12-1980 VENCIDOS OS MINISTROS PRATES DE MACEDO (relator) e ALVES DE ALMEIDA Arquivo do Ementário Forense, TST/1291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Contador de empresa, embora não empregado, desde que tenha conhecimento dos fatos que originaram a ação, pode ser preposto.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2026-10-26T02:34:32.231Z</dcterms:created>
  <dcterms:modified xsi:type="dcterms:W3CDTF">2026-10-26T02:34:32.231Z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