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14/12/1981</w:t>
      </w:r>
    </w:p>
    <w:p/>
    <w:p>
      <w:r>
        <w:t xml:space="preserve">SE O DIREITO AO BENEFÍCIO DEPENDE DE PROVA DO INTUITO OBSTATIVO POR PARTE DO EMPREGADOR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dispensa imotivada de gestante acarreta para a empresa o ônus do pagamento do salário-maternidade, sem necessidade de prova do intuito obstativo da aquisição do direito, por parte do empregador. Proc. TST-RR-3.680/80, Julgado em 15-12-1981 V. o t. AUXÍLIO MATERNIDADE, st. INCONSTITUCIONALIDADE DE LEI (*) ''Empregada gestante, dispensada sem motivo antes do período de seis semanas anteriores ao parto tem direito à percepção do salário-maternidade.'' (''EMENTÁRIO FORENSE'', Nº 222) EMFOR 393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2026-10-26T04:59:17.960Z</dcterms:created>
  <dcterms:modified xsi:type="dcterms:W3CDTF">2026-10-26T04:59:17.960Z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