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14/12/1981</w:t>
      </w:r>
    </w:p>
    <w:p/>
    <w:p>
      <w:r>
        <w:t xml:space="preserve">SE O DIREITO AO BENEFÍCIO DEPENDE DE PROVA DO INTUITO OBSTATIVO POR PARTE DO EMPREGADOR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dispensa imotivada de gestante acarreta para a empresa o ônus do pagamento do salário-maternidade, sem necessidade de prova do intuito obstativo da aquisição do direito, por parte do empregador. Proc. TST-RR-3.680/80, Julgado em 15-12-1981 V. o t. AUXÍLIO MATERNIDADE, st. INCONSTITUCIONALIDADE DE LEI (*) ''Empregada gestante, dispensada sem motivo antes do período de seis semanas anteriores ao parto tem direito à percepção do salário-maternidade.'' (''EMENTÁRIO FORENSE'', Nº 222) EMFOR 393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2026-06-17T15:22:45.119Z</dcterms:created>
  <dcterms:modified xsi:type="dcterms:W3CDTF">2026-06-17T15:22:45.119Z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