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14/12/1981</w:t>
      </w:r>
    </w:p>
    <w:p/>
    <w:p>
      <w:r>
        <w:t xml:space="preserve">CRIAÇÃO DE OBRIGAÇÃO NÃO PREVISTA EM LEI — SE PODE SER APRECIADA EM RECLAMAÇÃO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Suscita a recorrente violação do art. 8º, inc. XVII, alínea ''b'', da Carta de 1969, por entender que o decreto nº 75.207/75, criou obrigações não previstas na Lei nº 6.136/74, ''in verbis'': ''Art. 1º - ... § 3º - O salário-maternidade só será devido pelo INPS enquanto existir o vínculo empregatício, cabendo ao empregado, em caso de despedida sem justa causa, os ônus decorrentes da dispensa''. - ''Data venia'', a questão não é de ser argüída em reclamação trabalhista em que gestante pleiteia o pagamento do salário-maternidade, na forma do art. 2º, da Lei nº 6.136/74, repetido no art. 50 da Consolidação das Leis da Providência Social. A controvérsia ''sub-judice'' é entre empregada e empregador . - Este é que juridicamente o responsável pelo pagamento. - Valho-me aqui, das palavras de ORLANDO TEIXEIRA DA COSTA (Rev. do Tribunal Regional do Trabalho da 8 ª Região, v. 8 - nº 14, pág. 69) para quem o empregador foi investido por lei, da qualidade de sub-rogado, enquanto a empregada gestante da qualidade de sub-rogante. Com isso empregador sub-rogado adquire, contra o obrigado (Órgão da Previdência), os direitos da credora (empregada gestante). - O precitado dispositivo legal que se pretende inconstitucional versa restituição do valor pago pelo INPS, que não é parte nesta ação, e nem poderia ser, ''permissa venia'', pois outro o fundamento jurídico do pedido. - Não conheço da revista na preliminar de carência do direito de ação da reclamante. Proc. TST-RR-3.680/80, Julgado em 15-12-1981 Arquivo do Ementário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argüição de inconstitucionalidade do art. 1º, § 3º, do Decreto nº 75.207/75 (art. 106, do Regulamento dos benefícios da Previdência Social), não pode ser apreciada em reclamação trabalhista que pleiteia o pagamento de salário-maternidade, na forma do art. 2º da Lei nº 6.136, de 07-11-74 reproduzido no art. 50 da Consolidação das Leis da Previdência 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2026-09-10T22:12:36.197Z</dcterms:created>
  <dcterms:modified xsi:type="dcterms:W3CDTF">2026-09-10T22:12:36.197Z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