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/>
    <w:p>
      <w:r>
        <w:t xml:space="preserve">QUAL O CABÍVEL DA DECISÃO NELES PROFERIDA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razão, em sede de doutrina, o eminente advogado da recorrente. Sendo embargos de terceiros uma ação, o recurso cabível da decisão do Presidente da Junta seria o ordinário para a TRT e, depois desde decidir se ensejaria a revista. Mas a jurisprudência volumosa e unânime é a de que, na J. do Trabalho, os embargos são um incidente da execução, sendo a sentença que os decide atacável por agravo de petição, recurso típico do processo de execução. - Apontam-se infringidos os arts. 135 do CTN, 889 da CLT, 135 do CPC, 2º da Lei 3.708 e 20 do CC. Entretanto, como salienta com propriedade o aresto recorrido, presumida a fraude, é perfeitamente aplicável o preceito do CTN, por força do art. 889 da CLT. - Os bens do recorrente, portanto respondem pela dívida da sociedade de que é gerente, e o art. 135 do CNT não diz outra coisa - isto é, afirma a responsabilidade pessoal de diretores, gerentes ou representantes pelos créditos correspondentes a obrigações tributárias. - A sentença do Juiz da execução já declarava que o próprio embargante reconhecia sua responsabilidade, ''como se extrai da prova dos autos, pela qual se constava que a sociedade que dirigia não tem bens exeqüíveis'' (...). Por isso, nunca os indicou, para se valer do ''benefício de ordem'' (CPC, art. 596 e § 1º). - Logo, houve infração da lei, contrato e estatutos, que autoriza a responsabilidade dos bens do sócio. - A intepretação dada pelo aresto recorrido não delira do sentido social da lei, na adaptação subsidiária ao processo do trabalho. - ''Data venia'' do brilho do razoado douto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razoável dos arts. 135 do CNT, 899 da CLT e 596 e § 1º do CPC. - Embargos de terceiro, na execução, constituem uma ação, mas a jurisprudência trabalhista os considera mero incidente daquele processo, sendo cabível, da decisão neles dada, agravo de petição e não recurso ordinário, para o TRT.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2026-10-26T06:00:16.933Z</dcterms:created>
  <dcterms:modified xsi:type="dcterms:W3CDTF">2026-10-26T06:00:16.933Z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