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16/03/1981</w:t>
      </w:r>
    </w:p>
    <w:p/>
    <w:p>
      <w:r>
        <w:t xml:space="preserve">EVENTUAIS TAREFAS DISTINTAS — FATO SUFICIENTE PARA ELIDIR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461 da CLT é taxativo ao exigir como um dos requisitos indispensáveis à equiparação salarial a identidade de funções. - Não se pode, por conseguinte, admitir equiparação quando as funções são apenas análogas. - O regional, como se viu, afirma que reclamante e paradigma exerciam tarefas distintas, ainda que eventualmente. Logo suas funções são análogas e não idênticas. - O cometimento de atribuições idênticas a reclamante e paradigma e que ambos executem sempre serviços iguais, é requisitos necessários para o deferimento de equiparação salarial, bastando apenas o fato de exercerem eventuais tarefas distintas para elidir o princípio da igualdade salarial. - Dou provimento ao recurso para julgar improcedente a reclamação. Proc. TST-RR-4.879/80, Julgado em 17-03-1981 VENCIDOS OS MINISTROS HILDEBRANDO BISAGLIA E ALVES DE ALMEIDA. Arquivo do Ementário Forense, TST/1296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cometimento de atribuições idênticas a reclamante e paradigma e que ambos executem sempre serviços iguais, é requisito necessário para o deferimento de equiparação salarial, bastando apenas o fato de exercerem eventuais tarefas distintas para elidir o princípio da igualdade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2026-09-10T22:19:02.073Z</dcterms:created>
  <dcterms:modified xsi:type="dcterms:W3CDTF">2026-09-10T22:19:02.073Z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