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16/03/1981</w:t>
      </w:r>
    </w:p>
    <w:p/>
    <w:p>
      <w:r>
        <w:t xml:space="preserve">EVENTUAIS TAREFAS DISTINTAS — FATO SUFICIENTE PARA ELIDIR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461 da CLT é taxativo ao exigir como um dos requisitos indispensáveis à equiparação salarial a identidade de funções. - Não se pode, por conseguinte, admitir equiparação quando as funções são apenas análogas. - O regional, como se viu, afirma que reclamante e paradigma exerciam tarefas distintas, ainda que eventualmente. Logo suas funções são análogas e não idênticas. - O cometimento de atribuições idênticas a reclamante e paradigma e que ambos executem sempre serviços iguais, é requisitos necessários para o deferimento de equiparação salarial, bastando apenas o fato de exercerem eventuais tarefas distintas para elidir o princípio da igualdade salarial. - Dou provimento ao recurso para julgar improcedente a reclamação. Proc. TST-RR-4.879/80, Julgado em 17-03-1981 VENCIDOS OS MINISTROS HILDEBRANDO BISAGLIA E ALVES DE ALMEIDA. Arquivo do Ementário Forense, TST/1296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cometimento de atribuições idênticas a reclamante e paradigma e que ambos executem sempre serviços iguais, é requisito necessário para o deferimento de equiparação salarial, bastando apenas o fato de exercerem eventuais tarefas distintas para elidir o princípio da igualdade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2026-10-26T03:47:19.592Z</dcterms:created>
  <dcterms:modified xsi:type="dcterms:W3CDTF">2026-10-26T03:47:19.592Z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